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Century Gothic" w:hAnsi="Century Gothic"/>
          <w:sz w:val="20"/>
          <w:szCs w:val="20"/>
        </w:rPr>
        <w:t>Universidad de Buenos Aires</w:t>
      </w:r>
    </w:p>
    <w:p>
      <w:pPr>
        <w:pStyle w:val="style0"/>
        <w:jc w:val="right"/>
      </w:pPr>
      <w:r>
        <w:rPr>
          <w:rFonts w:ascii="Century Gothic" w:hAnsi="Century Gothic"/>
          <w:sz w:val="20"/>
          <w:szCs w:val="20"/>
        </w:rPr>
        <w:t>Facultad de Filosofía y Letras</w:t>
      </w:r>
    </w:p>
    <w:p>
      <w:pPr>
        <w:pStyle w:val="style0"/>
        <w:jc w:val="right"/>
      </w:pPr>
      <w:r>
        <w:rPr>
          <w:rFonts w:ascii="Century Gothic" w:hAnsi="Century Gothic"/>
          <w:sz w:val="20"/>
          <w:szCs w:val="20"/>
        </w:rPr>
        <w:t>Departamento de Ciencias Antropológicas</w:t>
      </w:r>
    </w:p>
    <w:p>
      <w:pPr>
        <w:pStyle w:val="style0"/>
        <w:jc w:val="both"/>
      </w:pPr>
      <w:r>
        <w:rPr>
          <w:rFonts w:ascii="Century Gothic" w:hAnsi="Century Gothic"/>
          <w:sz w:val="20"/>
          <w:szCs w:val="20"/>
        </w:rPr>
      </w:r>
    </w:p>
    <w:p>
      <w:pPr>
        <w:pStyle w:val="style1"/>
      </w:pPr>
      <w:r>
        <w:rPr>
          <w:rFonts w:ascii="Century Gothic" w:cs="Arial" w:hAnsi="Century Gothic"/>
          <w:b/>
          <w:szCs w:val="28"/>
        </w:rPr>
        <w:t>Teoría Arqueológica Contemporánea</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r>
    </w:p>
    <w:p>
      <w:pPr>
        <w:pStyle w:val="style0"/>
        <w:jc w:val="right"/>
      </w:pPr>
      <w:r>
        <w:rPr>
          <w:rFonts w:ascii="Century Gothic" w:hAnsi="Century Gothic"/>
          <w:sz w:val="20"/>
          <w:szCs w:val="20"/>
        </w:rPr>
        <w:t>Curso: 1er cuatrimestre de 2014</w:t>
      </w:r>
    </w:p>
    <w:p>
      <w:pPr>
        <w:pStyle w:val="style0"/>
        <w:jc w:val="both"/>
      </w:pPr>
      <w:r>
        <w:rPr>
          <w:rFonts w:ascii="Century Gothic" w:hAnsi="Century Gothic"/>
          <w:i/>
          <w:iCs/>
          <w:sz w:val="20"/>
          <w:szCs w:val="20"/>
        </w:rPr>
        <w:t>Profesor Titular</w:t>
      </w:r>
      <w:r>
        <w:rPr>
          <w:rFonts w:ascii="Century Gothic" w:hAnsi="Century Gothic"/>
          <w:sz w:val="20"/>
          <w:szCs w:val="20"/>
        </w:rPr>
        <w:t>: Dr. Hugo D. Yacobaccio</w:t>
      </w:r>
    </w:p>
    <w:p>
      <w:pPr>
        <w:pStyle w:val="style0"/>
        <w:jc w:val="both"/>
      </w:pPr>
      <w:r>
        <w:rPr>
          <w:rFonts w:ascii="Century Gothic" w:hAnsi="Century Gothic"/>
          <w:i/>
          <w:iCs/>
          <w:sz w:val="20"/>
          <w:szCs w:val="20"/>
        </w:rPr>
        <w:t>Profesor Adjunto</w:t>
      </w:r>
      <w:r>
        <w:rPr>
          <w:rFonts w:ascii="Century Gothic" w:hAnsi="Century Gothic"/>
          <w:sz w:val="20"/>
          <w:szCs w:val="20"/>
        </w:rPr>
        <w:t>: Dr. Rafael A. Goñi</w:t>
      </w:r>
    </w:p>
    <w:p>
      <w:pPr>
        <w:pStyle w:val="style0"/>
        <w:jc w:val="both"/>
      </w:pPr>
      <w:r>
        <w:rPr>
          <w:rFonts w:ascii="Century Gothic" w:hAnsi="Century Gothic"/>
          <w:i/>
          <w:iCs/>
          <w:sz w:val="20"/>
          <w:szCs w:val="20"/>
        </w:rPr>
        <w:t>Jefe</w:t>
      </w:r>
      <w:r>
        <w:rPr>
          <w:rFonts w:ascii="Century Gothic" w:hAnsi="Century Gothic"/>
          <w:sz w:val="20"/>
          <w:szCs w:val="20"/>
        </w:rPr>
        <w:t xml:space="preserve"> </w:t>
      </w:r>
      <w:r>
        <w:rPr>
          <w:rFonts w:ascii="Century Gothic" w:hAnsi="Century Gothic"/>
          <w:i/>
          <w:iCs/>
          <w:sz w:val="20"/>
          <w:szCs w:val="20"/>
        </w:rPr>
        <w:t>de Trabajos Prácticos</w:t>
      </w:r>
      <w:r>
        <w:rPr>
          <w:rFonts w:ascii="Century Gothic" w:hAnsi="Century Gothic"/>
          <w:sz w:val="20"/>
          <w:szCs w:val="20"/>
        </w:rPr>
        <w:t xml:space="preserve">: Dr. Diego Rindel </w:t>
      </w:r>
    </w:p>
    <w:p>
      <w:pPr>
        <w:pStyle w:val="style0"/>
        <w:jc w:val="both"/>
      </w:pPr>
      <w:r>
        <w:rPr>
          <w:rFonts w:ascii="Century Gothic" w:hAnsi="Century Gothic"/>
          <w:i/>
          <w:iCs/>
          <w:sz w:val="20"/>
          <w:szCs w:val="20"/>
        </w:rPr>
        <w:t>Auxiliares de Primera</w:t>
      </w:r>
      <w:r>
        <w:rPr>
          <w:rFonts w:ascii="Century Gothic" w:hAnsi="Century Gothic"/>
          <w:sz w:val="20"/>
          <w:szCs w:val="20"/>
        </w:rPr>
        <w:t>: Dr. Marcelo Morales y Dra. Anahí Re</w:t>
      </w:r>
    </w:p>
    <w:p>
      <w:pPr>
        <w:pStyle w:val="style0"/>
        <w:jc w:val="both"/>
      </w:pPr>
      <w:r>
        <w:rPr>
          <w:rFonts w:ascii="Century Gothic" w:hAnsi="Century Gothic"/>
          <w:i/>
          <w:iCs/>
          <w:sz w:val="20"/>
          <w:szCs w:val="20"/>
        </w:rPr>
        <w:t xml:space="preserve">Adscriptos: </w:t>
      </w:r>
      <w:r>
        <w:rPr>
          <w:rFonts w:ascii="Century Gothic" w:hAnsi="Century Gothic"/>
          <w:iCs/>
          <w:sz w:val="20"/>
          <w:szCs w:val="20"/>
        </w:rPr>
        <w:t xml:space="preserve"> Pendiente de llamado a concurso</w:t>
      </w:r>
    </w:p>
    <w:p>
      <w:pPr>
        <w:pStyle w:val="style0"/>
        <w:jc w:val="both"/>
      </w:pPr>
      <w:r>
        <w:rPr>
          <w:rFonts w:ascii="Century Gothic" w:hAnsi="Century Gothic"/>
          <w:sz w:val="20"/>
          <w:szCs w:val="20"/>
        </w:rPr>
      </w:r>
    </w:p>
    <w:p>
      <w:pPr>
        <w:pStyle w:val="style3"/>
        <w:numPr>
          <w:ilvl w:val="0"/>
          <w:numId w:val="1"/>
        </w:numPr>
        <w:tabs>
          <w:tab w:leader="none" w:pos="360" w:val="left"/>
        </w:tabs>
        <w:ind w:hanging="0" w:left="0" w:right="0"/>
      </w:pPr>
      <w:r>
        <w:rPr>
          <w:rFonts w:ascii="Century Gothic" w:cs="Arial" w:hAnsi="Century Gothic"/>
          <w:sz w:val="20"/>
          <w:szCs w:val="20"/>
        </w:rPr>
        <w:t>OBJETIVOS</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La Arqueología ha estado sujeta a grandes cambios durante los últimos cuarenta años durante los cuales se han explicitado una serie de programas de investigación que produjeron importantes modificaciones en los objetivos que debe perseguir la investigación arqueológica, como así también en la metodología implementada. Su resultado ha sido la aparición de un abanico de teorías puestas en juego para ser empleadas en la disciplina, la discusión de su objeto de estudio y la tensión metodológica entre objetivismo y subjetivismo.   El presente programa de la materia destaca el análisis de conceptos epistemológicos básicos en la generación de conocimiento arqueológico  Asimismo, se enfatizará un criterio histórico para estudiar la diversidad teórica que caracteriza a la arqueología actual. Por otra parte, a través del análisis de la aplicación de teoría a casos particulares analizaremos los diferentes enfoques teóricos actuales y su metodología. La base de los trabajos prácticos será la lectura de las propuestas teóricas y metodológicas originales de las principales corrientes teóricas en la arqueología de los últimos cincuenta años.</w:t>
      </w:r>
    </w:p>
    <w:p>
      <w:pPr>
        <w:pStyle w:val="style0"/>
        <w:jc w:val="both"/>
      </w:pPr>
      <w:r>
        <w:rPr>
          <w:rFonts w:ascii="Century Gothic" w:hAnsi="Century Gothic"/>
          <w:sz w:val="20"/>
          <w:szCs w:val="20"/>
        </w:rPr>
      </w:r>
    </w:p>
    <w:p>
      <w:pPr>
        <w:pStyle w:val="style0"/>
        <w:jc w:val="both"/>
      </w:pPr>
      <w:r>
        <w:rPr>
          <w:rFonts w:ascii="Century Gothic" w:hAnsi="Century Gothic"/>
          <w:b/>
          <w:bCs/>
          <w:sz w:val="20"/>
          <w:szCs w:val="20"/>
        </w:rPr>
        <w:t>B y C) CONTENIDO Y BIBLIOGRAFIA</w:t>
      </w:r>
    </w:p>
    <w:p>
      <w:pPr>
        <w:pStyle w:val="style0"/>
        <w:jc w:val="both"/>
      </w:pPr>
      <w:r>
        <w:rPr>
          <w:rFonts w:ascii="Century Gothic" w:hAnsi="Century Gothic"/>
          <w:b/>
          <w:bCs/>
          <w:sz w:val="20"/>
          <w:szCs w:val="20"/>
        </w:rPr>
      </w:r>
    </w:p>
    <w:p>
      <w:pPr>
        <w:pStyle w:val="style0"/>
        <w:jc w:val="both"/>
      </w:pPr>
      <w:r>
        <w:rPr>
          <w:rFonts w:ascii="Century Gothic" w:hAnsi="Century Gothic"/>
          <w:b/>
          <w:bCs/>
          <w:sz w:val="20"/>
          <w:szCs w:val="20"/>
        </w:rPr>
        <w:t>PROGRAMA DE TEORICOS</w:t>
      </w:r>
    </w:p>
    <w:p>
      <w:pPr>
        <w:pStyle w:val="style0"/>
        <w:jc w:val="both"/>
      </w:pPr>
      <w:r>
        <w:rPr>
          <w:rFonts w:ascii="Century Gothic" w:hAnsi="Century Gothic"/>
          <w:sz w:val="20"/>
          <w:szCs w:val="20"/>
        </w:rPr>
      </w:r>
    </w:p>
    <w:p>
      <w:pPr>
        <w:pStyle w:val="style0"/>
        <w:numPr>
          <w:ilvl w:val="0"/>
          <w:numId w:val="2"/>
        </w:numPr>
        <w:jc w:val="both"/>
      </w:pPr>
      <w:r>
        <w:rPr>
          <w:rFonts w:ascii="Century Gothic" w:hAnsi="Century Gothic"/>
          <w:b/>
          <w:sz w:val="20"/>
          <w:szCs w:val="20"/>
        </w:rPr>
        <w:t>Breve reseña histórica de la teoría arqueológica.</w:t>
      </w:r>
    </w:p>
    <w:p>
      <w:pPr>
        <w:pStyle w:val="style0"/>
        <w:jc w:val="both"/>
      </w:pPr>
      <w:r>
        <w:rPr>
          <w:rFonts w:ascii="Century Gothic" w:hAnsi="Century Gothic"/>
          <w:b/>
          <w:sz w:val="20"/>
          <w:szCs w:val="20"/>
        </w:rPr>
      </w:r>
    </w:p>
    <w:p>
      <w:pPr>
        <w:pStyle w:val="style0"/>
        <w:jc w:val="both"/>
      </w:pPr>
      <w:r>
        <w:rPr>
          <w:rFonts w:ascii="Century Gothic" w:hAnsi="Century Gothic"/>
          <w:sz w:val="20"/>
          <w:szCs w:val="20"/>
        </w:rPr>
        <w:t xml:space="preserve">Fernández, J. 1982. </w:t>
      </w:r>
      <w:r>
        <w:rPr>
          <w:rFonts w:ascii="Century Gothic" w:hAnsi="Century Gothic"/>
          <w:i/>
          <w:sz w:val="20"/>
          <w:szCs w:val="20"/>
        </w:rPr>
        <w:t>Historia de la Arqueología Argentina</w:t>
      </w:r>
      <w:r>
        <w:rPr>
          <w:rFonts w:ascii="Century Gothic" w:hAnsi="Century Gothic"/>
          <w:sz w:val="20"/>
          <w:szCs w:val="20"/>
        </w:rPr>
        <w:t>, Capítulo 1 y reseña bibliográfica. Universidad de Cuyo, Mendoza.</w:t>
      </w:r>
    </w:p>
    <w:p>
      <w:pPr>
        <w:pStyle w:val="style0"/>
        <w:jc w:val="both"/>
      </w:pPr>
      <w:r>
        <w:rPr>
          <w:rFonts w:ascii="Century Gothic" w:hAnsi="Century Gothic"/>
          <w:sz w:val="20"/>
          <w:szCs w:val="20"/>
        </w:rPr>
      </w:r>
    </w:p>
    <w:p>
      <w:pPr>
        <w:pStyle w:val="style0"/>
        <w:jc w:val="both"/>
      </w:pPr>
      <w:r>
        <w:rPr>
          <w:rFonts w:ascii="Century Gothic" w:hAnsi="Century Gothic"/>
          <w:sz w:val="20"/>
          <w:szCs w:val="20"/>
          <w:lang w:val="en-US"/>
        </w:rPr>
        <w:t xml:space="preserve">MacIntosh, R. 1996. Intellectual history of archaeology. </w:t>
      </w:r>
      <w:r>
        <w:rPr>
          <w:rFonts w:ascii="Century Gothic" w:hAnsi="Century Gothic"/>
          <w:i/>
          <w:sz w:val="20"/>
          <w:szCs w:val="20"/>
          <w:lang w:val="en-US"/>
        </w:rPr>
        <w:t>The</w:t>
      </w:r>
      <w:r>
        <w:rPr>
          <w:rFonts w:ascii="Century Gothic" w:hAnsi="Century Gothic"/>
          <w:sz w:val="20"/>
          <w:szCs w:val="20"/>
          <w:lang w:val="en-US"/>
        </w:rPr>
        <w:t xml:space="preserve"> </w:t>
      </w:r>
      <w:r>
        <w:rPr>
          <w:rFonts w:ascii="Century Gothic" w:hAnsi="Century Gothic"/>
          <w:i/>
          <w:sz w:val="20"/>
          <w:szCs w:val="20"/>
          <w:lang w:val="en-US"/>
        </w:rPr>
        <w:t>Oxford Companion to Archaeology,</w:t>
      </w:r>
      <w:r>
        <w:rPr>
          <w:rFonts w:ascii="Century Gothic" w:hAnsi="Century Gothic"/>
          <w:sz w:val="20"/>
          <w:szCs w:val="20"/>
          <w:lang w:val="en-US"/>
        </w:rPr>
        <w:t xml:space="preserve"> editado por Brian M. Fagan. </w:t>
      </w:r>
      <w:r>
        <w:rPr>
          <w:rFonts w:ascii="Century Gothic" w:hAnsi="Century Gothic"/>
          <w:sz w:val="20"/>
          <w:szCs w:val="20"/>
        </w:rPr>
        <w:t>Oxford: Oxford University Press, pp. 280-85.</w:t>
      </w:r>
    </w:p>
    <w:p>
      <w:pPr>
        <w:pStyle w:val="style0"/>
        <w:jc w:val="both"/>
      </w:pPr>
      <w:r>
        <w:rPr>
          <w:rFonts w:ascii="Century Gothic" w:hAnsi="Century Gothic"/>
          <w:b/>
          <w:sz w:val="20"/>
          <w:szCs w:val="20"/>
        </w:rPr>
        <w:t xml:space="preserve"> </w:t>
      </w:r>
    </w:p>
    <w:p>
      <w:pPr>
        <w:pStyle w:val="style0"/>
        <w:jc w:val="both"/>
      </w:pPr>
      <w:r>
        <w:rPr>
          <w:rFonts w:ascii="Century Gothic" w:hAnsi="Century Gothic"/>
          <w:bCs/>
          <w:sz w:val="20"/>
          <w:szCs w:val="20"/>
        </w:rPr>
        <w:t xml:space="preserve">Trigger, B. C. 1989. </w:t>
      </w:r>
      <w:r>
        <w:rPr>
          <w:rFonts w:ascii="Century Gothic" w:hAnsi="Century Gothic"/>
          <w:bCs/>
          <w:i/>
          <w:sz w:val="20"/>
          <w:szCs w:val="20"/>
        </w:rPr>
        <w:t>Historia del Pensamiento Arqueológico</w:t>
      </w:r>
      <w:r>
        <w:rPr>
          <w:rFonts w:ascii="Century Gothic" w:hAnsi="Century Gothic"/>
          <w:bCs/>
          <w:sz w:val="20"/>
          <w:szCs w:val="20"/>
        </w:rPr>
        <w:t>, Crítica, Barcelona. Capítulo 5 y 7.</w:t>
      </w:r>
    </w:p>
    <w:p>
      <w:pPr>
        <w:pStyle w:val="style0"/>
        <w:jc w:val="both"/>
      </w:pPr>
      <w:r>
        <w:rPr>
          <w:rFonts w:ascii="Century Gothic" w:hAnsi="Century Gothic"/>
          <w:bCs/>
          <w:sz w:val="20"/>
          <w:szCs w:val="20"/>
        </w:rPr>
      </w:r>
    </w:p>
    <w:p>
      <w:pPr>
        <w:pStyle w:val="style0"/>
        <w:jc w:val="both"/>
      </w:pPr>
      <w:r>
        <w:rPr>
          <w:rFonts w:ascii="Century Gothic" w:hAnsi="Century Gothic"/>
          <w:bCs/>
          <w:sz w:val="20"/>
          <w:szCs w:val="20"/>
        </w:rPr>
      </w:r>
    </w:p>
    <w:p>
      <w:pPr>
        <w:pStyle w:val="style0"/>
        <w:numPr>
          <w:ilvl w:val="0"/>
          <w:numId w:val="2"/>
        </w:numPr>
        <w:jc w:val="both"/>
      </w:pPr>
      <w:r>
        <w:rPr>
          <w:rFonts w:ascii="Century Gothic" w:hAnsi="Century Gothic"/>
          <w:b/>
          <w:sz w:val="20"/>
          <w:szCs w:val="20"/>
        </w:rPr>
        <w:t xml:space="preserve">La generación de conocimiento y la formación de conceptos teóricos. Deducción e inducción. Inferencia y analogía. Causalidad y validación del conocimiento científico. </w:t>
      </w:r>
    </w:p>
    <w:p>
      <w:pPr>
        <w:pStyle w:val="style0"/>
        <w:ind w:hanging="0" w:left="360" w:right="0"/>
        <w:jc w:val="both"/>
      </w:pPr>
      <w:r>
        <w:rPr>
          <w:rFonts w:ascii="Century Gothic" w:hAnsi="Century Gothic"/>
          <w:sz w:val="20"/>
          <w:szCs w:val="20"/>
          <w:lang w:val="es-AR"/>
        </w:rPr>
      </w:r>
    </w:p>
    <w:p>
      <w:pPr>
        <w:pStyle w:val="style0"/>
        <w:jc w:val="both"/>
      </w:pPr>
      <w:r>
        <w:rPr>
          <w:rFonts w:ascii="Century Gothic" w:hAnsi="Century Gothic"/>
          <w:sz w:val="20"/>
          <w:szCs w:val="20"/>
          <w:lang w:val="en-US"/>
        </w:rPr>
        <w:t xml:space="preserve">Binford, L.R. 2001. Where do Research Problems Come From? </w:t>
      </w:r>
      <w:r>
        <w:rPr>
          <w:rFonts w:ascii="Century Gothic" w:hAnsi="Century Gothic"/>
          <w:i/>
          <w:iCs/>
          <w:sz w:val="20"/>
          <w:szCs w:val="20"/>
          <w:lang w:val="es-AR"/>
        </w:rPr>
        <w:t>American Antiquity</w:t>
      </w:r>
      <w:r>
        <w:rPr>
          <w:rFonts w:ascii="Century Gothic" w:hAnsi="Century Gothic"/>
          <w:sz w:val="20"/>
          <w:szCs w:val="20"/>
          <w:lang w:val="es-AR"/>
        </w:rPr>
        <w:t xml:space="preserve"> 66: 669-678.</w:t>
      </w:r>
    </w:p>
    <w:p>
      <w:pPr>
        <w:pStyle w:val="style0"/>
        <w:jc w:val="both"/>
      </w:pPr>
      <w:r>
        <w:rPr>
          <w:rFonts w:ascii="Century Gothic" w:hAnsi="Century Gothic"/>
          <w:sz w:val="20"/>
          <w:szCs w:val="20"/>
          <w:lang w:val="es-AR"/>
        </w:rPr>
      </w:r>
    </w:p>
    <w:p>
      <w:pPr>
        <w:pStyle w:val="style0"/>
        <w:jc w:val="both"/>
      </w:pPr>
      <w:r>
        <w:rPr>
          <w:rFonts w:ascii="Century Gothic" w:hAnsi="Century Gothic"/>
          <w:sz w:val="20"/>
          <w:szCs w:val="20"/>
        </w:rPr>
        <w:t xml:space="preserve">Brown, H. 1984. </w:t>
      </w:r>
      <w:r>
        <w:rPr>
          <w:rFonts w:ascii="Century Gothic" w:hAnsi="Century Gothic"/>
          <w:i/>
          <w:sz w:val="20"/>
          <w:szCs w:val="20"/>
        </w:rPr>
        <w:t>La Nueva Filosofía de la Ciencia</w:t>
      </w:r>
      <w:r>
        <w:rPr>
          <w:rFonts w:ascii="Century Gothic" w:hAnsi="Century Gothic"/>
          <w:sz w:val="20"/>
          <w:szCs w:val="20"/>
        </w:rPr>
        <w:t>, cap. III al VII. Tecnos, Madrid.</w:t>
      </w:r>
    </w:p>
    <w:p>
      <w:pPr>
        <w:pStyle w:val="style0"/>
        <w:jc w:val="both"/>
      </w:pPr>
      <w:r>
        <w:rPr>
          <w:rFonts w:ascii="Century Gothic" w:hAnsi="Century Gothic"/>
          <w:sz w:val="20"/>
          <w:szCs w:val="20"/>
        </w:rPr>
      </w:r>
    </w:p>
    <w:p>
      <w:pPr>
        <w:pStyle w:val="style0"/>
        <w:jc w:val="both"/>
      </w:pPr>
      <w:r>
        <w:rPr>
          <w:rFonts w:ascii="Century Gothic" w:hAnsi="Century Gothic"/>
          <w:sz w:val="20"/>
          <w:szCs w:val="20"/>
          <w:lang w:val="es-ES"/>
        </w:rPr>
      </w:r>
    </w:p>
    <w:p>
      <w:pPr>
        <w:pStyle w:val="style0"/>
        <w:jc w:val="both"/>
      </w:pPr>
      <w:r>
        <w:rPr>
          <w:rFonts w:ascii="Century Gothic" w:hAnsi="Century Gothic"/>
          <w:sz w:val="20"/>
          <w:szCs w:val="20"/>
          <w:lang w:val="es-ES"/>
        </w:rPr>
        <w:t xml:space="preserve">Bunge, M. 1985. ¿Qué es y a qué puede aplicarse el método científico?. En: </w:t>
      </w:r>
      <w:r>
        <w:rPr>
          <w:rFonts w:ascii="Century Gothic" w:hAnsi="Century Gothic"/>
          <w:i/>
          <w:sz w:val="20"/>
          <w:szCs w:val="20"/>
          <w:lang w:val="es-ES"/>
        </w:rPr>
        <w:t>Epistemología</w:t>
      </w:r>
      <w:r>
        <w:rPr>
          <w:rFonts w:ascii="Century Gothic" w:hAnsi="Century Gothic"/>
          <w:sz w:val="20"/>
          <w:szCs w:val="20"/>
          <w:lang w:val="es-ES"/>
        </w:rPr>
        <w:t>. Pp: 28-45. Ed. Ariel, Barcelona.</w:t>
      </w:r>
    </w:p>
    <w:p>
      <w:pPr>
        <w:pStyle w:val="style0"/>
        <w:jc w:val="both"/>
      </w:pPr>
      <w:r>
        <w:rPr>
          <w:rFonts w:ascii="Century Gothic" w:hAnsi="Century Gothic"/>
          <w:sz w:val="20"/>
          <w:szCs w:val="20"/>
          <w:lang w:val="es-ES"/>
        </w:rPr>
      </w:r>
    </w:p>
    <w:p>
      <w:pPr>
        <w:pStyle w:val="style0"/>
        <w:jc w:val="both"/>
      </w:pPr>
      <w:r>
        <w:rPr>
          <w:rFonts w:ascii="Century Gothic" w:hAnsi="Century Gothic"/>
          <w:sz w:val="20"/>
          <w:szCs w:val="20"/>
          <w:lang w:val="es-ES"/>
        </w:rPr>
        <w:t xml:space="preserve">Chalmers, A.F. 1984. </w:t>
      </w:r>
      <w:r>
        <w:rPr>
          <w:rFonts w:ascii="Century Gothic" w:hAnsi="Century Gothic"/>
          <w:i/>
          <w:sz w:val="20"/>
          <w:szCs w:val="20"/>
          <w:lang w:val="es-ES"/>
        </w:rPr>
        <w:t>¿Qué es esa cosa llamada ciencia?</w:t>
      </w:r>
      <w:r>
        <w:rPr>
          <w:rFonts w:ascii="Century Gothic" w:hAnsi="Century Gothic"/>
          <w:sz w:val="20"/>
          <w:szCs w:val="20"/>
          <w:lang w:val="es-ES"/>
        </w:rPr>
        <w:t xml:space="preserve"> Caps. 1 y 2: 11-37. Siglo XXI Eds, Barcelona.</w:t>
      </w:r>
    </w:p>
    <w:p>
      <w:pPr>
        <w:pStyle w:val="style0"/>
        <w:jc w:val="both"/>
      </w:pPr>
      <w:r>
        <w:rPr>
          <w:rFonts w:ascii="Century Gothic" w:hAnsi="Century Gothic"/>
          <w:sz w:val="20"/>
          <w:szCs w:val="20"/>
          <w:lang w:val="es-AR"/>
        </w:rPr>
      </w:r>
    </w:p>
    <w:p>
      <w:pPr>
        <w:pStyle w:val="style0"/>
        <w:jc w:val="both"/>
      </w:pPr>
      <w:r>
        <w:rPr>
          <w:rFonts w:ascii="Century Gothic" w:hAnsi="Century Gothic"/>
          <w:sz w:val="20"/>
          <w:szCs w:val="20"/>
          <w:lang w:val="es-ES"/>
        </w:rPr>
        <w:t xml:space="preserve">Johnson M. 2000. </w:t>
      </w:r>
      <w:r>
        <w:rPr>
          <w:rFonts w:ascii="Century Gothic" w:hAnsi="Century Gothic"/>
          <w:i/>
          <w:sz w:val="20"/>
          <w:szCs w:val="20"/>
          <w:lang w:val="es-ES"/>
        </w:rPr>
        <w:t>Teoría Arqueológica. Una introducción.</w:t>
      </w:r>
      <w:r>
        <w:rPr>
          <w:rFonts w:ascii="Century Gothic" w:hAnsi="Century Gothic"/>
          <w:sz w:val="20"/>
          <w:szCs w:val="20"/>
          <w:lang w:val="es-ES"/>
        </w:rPr>
        <w:t xml:space="preserve"> Cap. 1: 15-27. Editorial Ariel, Barcelona.</w:t>
      </w:r>
    </w:p>
    <w:p>
      <w:pPr>
        <w:pStyle w:val="style0"/>
        <w:jc w:val="both"/>
      </w:pPr>
      <w:r>
        <w:rPr>
          <w:rFonts w:ascii="Century Gothic" w:hAnsi="Century Gothic"/>
          <w:sz w:val="20"/>
          <w:szCs w:val="20"/>
          <w:lang w:val="es-ES"/>
        </w:rPr>
      </w:r>
    </w:p>
    <w:p>
      <w:pPr>
        <w:pStyle w:val="style0"/>
        <w:jc w:val="both"/>
      </w:pPr>
      <w:r>
        <w:rPr>
          <w:rFonts w:ascii="Century Gothic" w:hAnsi="Century Gothic"/>
          <w:sz w:val="20"/>
          <w:szCs w:val="20"/>
          <w:lang w:val="es-ES"/>
        </w:rPr>
        <w:t xml:space="preserve">Klimosvsky, G. 1995. </w:t>
      </w:r>
      <w:r>
        <w:rPr>
          <w:rFonts w:ascii="Century Gothic" w:hAnsi="Century Gothic"/>
          <w:i/>
          <w:sz w:val="20"/>
          <w:szCs w:val="20"/>
          <w:lang w:val="es-ES"/>
        </w:rPr>
        <w:t>Las desventuras del Conocimiento científico. Una introducción a la epistemología.</w:t>
      </w:r>
      <w:r>
        <w:rPr>
          <w:rFonts w:ascii="Century Gothic" w:hAnsi="Century Gothic"/>
          <w:sz w:val="20"/>
          <w:szCs w:val="20"/>
          <w:lang w:val="es-ES"/>
        </w:rPr>
        <w:t xml:space="preserve"> Cap. 19: 299-337. A-Z Editora,</w:t>
      </w:r>
      <w:r>
        <w:rPr>
          <w:rFonts w:ascii="Century Gothic" w:hAnsi="Century Gothic"/>
          <w:sz w:val="20"/>
          <w:szCs w:val="20"/>
        </w:rPr>
        <w:t xml:space="preserve"> Buenos Aires</w:t>
      </w:r>
      <w:r>
        <w:rPr>
          <w:rFonts w:ascii="Century Gothic" w:hAnsi="Century Gothic"/>
          <w:sz w:val="20"/>
          <w:szCs w:val="20"/>
          <w:lang w:val="es-ES"/>
        </w:rPr>
        <w:t>.</w:t>
      </w:r>
    </w:p>
    <w:p>
      <w:pPr>
        <w:pStyle w:val="style0"/>
        <w:jc w:val="both"/>
      </w:pPr>
      <w:r>
        <w:rPr>
          <w:rFonts w:ascii="Century Gothic" w:hAnsi="Century Gothic"/>
          <w:sz w:val="20"/>
          <w:szCs w:val="20"/>
        </w:rPr>
      </w:r>
    </w:p>
    <w:p>
      <w:pPr>
        <w:pStyle w:val="style0"/>
        <w:jc w:val="both"/>
      </w:pPr>
      <w:r>
        <w:rPr>
          <w:rFonts w:ascii="Century Gothic" w:hAnsi="Century Gothic"/>
          <w:sz w:val="20"/>
          <w:szCs w:val="20"/>
          <w:lang w:val="en-US"/>
        </w:rPr>
        <w:t xml:space="preserve">Salmon, M. 1982. </w:t>
      </w:r>
      <w:r>
        <w:rPr>
          <w:rFonts w:ascii="Century Gothic" w:hAnsi="Century Gothic"/>
          <w:i/>
          <w:iCs/>
          <w:sz w:val="20"/>
          <w:szCs w:val="20"/>
          <w:lang w:val="en-US"/>
        </w:rPr>
        <w:t>Philosophy and Archaeology</w:t>
      </w:r>
      <w:r>
        <w:rPr>
          <w:rFonts w:ascii="Century Gothic" w:hAnsi="Century Gothic"/>
          <w:sz w:val="20"/>
          <w:szCs w:val="20"/>
          <w:lang w:val="en-US"/>
        </w:rPr>
        <w:t>. Academic Press, New York. Cap. 6.</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lang w:val="es-ES"/>
        </w:rPr>
        <w:t xml:space="preserve">Schuster. F.G. 1982. </w:t>
      </w:r>
      <w:r>
        <w:rPr>
          <w:rFonts w:ascii="Century Gothic" w:hAnsi="Century Gothic"/>
          <w:i/>
          <w:sz w:val="20"/>
          <w:szCs w:val="20"/>
          <w:lang w:val="es-ES"/>
        </w:rPr>
        <w:t>Explicación y predicción</w:t>
      </w:r>
      <w:r>
        <w:rPr>
          <w:rFonts w:ascii="Century Gothic" w:hAnsi="Century Gothic"/>
          <w:sz w:val="20"/>
          <w:szCs w:val="20"/>
          <w:lang w:val="es-ES"/>
        </w:rPr>
        <w:t>. Caps. 9 y 10: 87-108</w:t>
      </w:r>
      <w:r>
        <w:rPr>
          <w:rFonts w:ascii="Century Gothic" w:hAnsi="Century Gothic"/>
          <w:color w:val="FF0000"/>
          <w:sz w:val="20"/>
          <w:szCs w:val="20"/>
          <w:lang w:val="es-ES"/>
        </w:rPr>
        <w:t xml:space="preserve">. </w:t>
      </w:r>
      <w:r>
        <w:rPr>
          <w:rFonts w:ascii="Century Gothic" w:hAnsi="Century Gothic"/>
          <w:sz w:val="20"/>
          <w:szCs w:val="20"/>
          <w:lang w:val="es-ES"/>
        </w:rPr>
        <w:t>Ed. Clacso</w:t>
      </w:r>
      <w:r>
        <w:rPr>
          <w:rFonts w:ascii="Century Gothic" w:hAnsi="Century Gothic"/>
          <w:color w:val="FF0000"/>
          <w:sz w:val="20"/>
          <w:szCs w:val="20"/>
          <w:lang w:val="es-ES"/>
        </w:rPr>
        <w:t>,</w:t>
      </w:r>
      <w:r>
        <w:rPr>
          <w:rFonts w:ascii="Century Gothic" w:hAnsi="Century Gothic"/>
          <w:sz w:val="20"/>
          <w:szCs w:val="20"/>
          <w:lang w:val="es-ES"/>
        </w:rPr>
        <w:t xml:space="preserve"> Buenos Aires.</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Xamar Oro J.R. de. 2007. </w:t>
      </w:r>
      <w:r>
        <w:rPr>
          <w:rFonts w:ascii="Century Gothic" w:hAnsi="Century Gothic"/>
          <w:sz w:val="20"/>
          <w:szCs w:val="20"/>
          <w:lang w:val="es-AR"/>
        </w:rPr>
        <w:t xml:space="preserve">Ciencia y Posmodernidad. </w:t>
      </w:r>
      <w:r>
        <w:rPr>
          <w:rFonts w:ascii="Century Gothic" w:hAnsi="Century Gothic"/>
          <w:i/>
          <w:sz w:val="20"/>
          <w:szCs w:val="20"/>
          <w:lang w:val="es-AR"/>
        </w:rPr>
        <w:t>Ciencia e Investigación</w:t>
      </w:r>
      <w:r>
        <w:rPr>
          <w:rFonts w:ascii="Century Gothic" w:hAnsi="Century Gothic"/>
          <w:sz w:val="20"/>
          <w:szCs w:val="20"/>
          <w:lang w:val="es-AR"/>
        </w:rPr>
        <w:t xml:space="preserve">,58 (1): 19-26. </w:t>
      </w:r>
    </w:p>
    <w:p>
      <w:pPr>
        <w:pStyle w:val="style0"/>
        <w:jc w:val="both"/>
      </w:pPr>
      <w:r>
        <w:rPr>
          <w:rFonts w:ascii="Century Gothic" w:hAnsi="Century Gothic"/>
          <w:sz w:val="20"/>
          <w:szCs w:val="20"/>
          <w:lang w:val="es-AR"/>
        </w:rPr>
      </w:r>
    </w:p>
    <w:p>
      <w:pPr>
        <w:pStyle w:val="style0"/>
        <w:jc w:val="both"/>
      </w:pPr>
      <w:r>
        <w:rPr>
          <w:rFonts w:ascii="Century Gothic" w:hAnsi="Century Gothic"/>
          <w:b/>
          <w:i/>
          <w:sz w:val="20"/>
          <w:szCs w:val="20"/>
        </w:rPr>
        <w:t xml:space="preserve">Bibliografía Complementaria </w:t>
      </w:r>
    </w:p>
    <w:p>
      <w:pPr>
        <w:pStyle w:val="style0"/>
        <w:jc w:val="both"/>
      </w:pPr>
      <w:r>
        <w:rPr>
          <w:rFonts w:ascii="Century Gothic" w:hAnsi="Century Gothic"/>
          <w:sz w:val="20"/>
          <w:szCs w:val="20"/>
        </w:rPr>
      </w:r>
    </w:p>
    <w:p>
      <w:pPr>
        <w:pStyle w:val="style22"/>
      </w:pPr>
      <w:r>
        <w:rPr>
          <w:rFonts w:ascii="Century Gothic" w:cs="Arial" w:hAnsi="Century Gothic"/>
          <w:sz w:val="20"/>
        </w:rPr>
        <w:t xml:space="preserve">Patrik, L. 1985. </w:t>
      </w:r>
      <w:r>
        <w:rPr>
          <w:rFonts w:ascii="Century Gothic" w:cs="Arial" w:hAnsi="Century Gothic"/>
          <w:sz w:val="20"/>
          <w:lang w:val="en-US"/>
        </w:rPr>
        <w:t xml:space="preserve">Is there an archaeological record? </w:t>
      </w:r>
      <w:r>
        <w:rPr>
          <w:rFonts w:ascii="Century Gothic" w:cs="Arial" w:hAnsi="Century Gothic"/>
          <w:i/>
          <w:sz w:val="20"/>
          <w:lang w:val="en-US"/>
        </w:rPr>
        <w:t>Advances in Archaeological Method and Theory</w:t>
      </w:r>
      <w:r>
        <w:rPr>
          <w:rFonts w:ascii="Century Gothic" w:cs="Arial" w:hAnsi="Century Gothic"/>
          <w:sz w:val="20"/>
          <w:lang w:val="en-US"/>
        </w:rPr>
        <w:t xml:space="preserve"> 8: 27-62.</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lang w:val="en-US"/>
        </w:rPr>
        <w:t xml:space="preserve">Rowlands, M.. 1984: Objectivity and subjectivity in archaeology, En M. Spriggs. (ed.), </w:t>
      </w:r>
      <w:r>
        <w:rPr>
          <w:rFonts w:ascii="Century Gothic" w:hAnsi="Century Gothic"/>
          <w:i/>
          <w:sz w:val="20"/>
          <w:szCs w:val="20"/>
          <w:lang w:val="en-US"/>
        </w:rPr>
        <w:t>Marxist Perspectives in Archaeology</w:t>
      </w:r>
      <w:r>
        <w:rPr>
          <w:rFonts w:ascii="Century Gothic" w:hAnsi="Century Gothic"/>
          <w:sz w:val="20"/>
          <w:szCs w:val="20"/>
          <w:lang w:val="en-US"/>
        </w:rPr>
        <w:t>, Cambridge, Cambridge University Press. Pp.108–113.</w:t>
      </w:r>
    </w:p>
    <w:p>
      <w:pPr>
        <w:pStyle w:val="style0"/>
        <w:jc w:val="both"/>
      </w:pPr>
      <w:r>
        <w:rPr>
          <w:rFonts w:ascii="Century Gothic" w:hAnsi="Century Gothic"/>
          <w:sz w:val="20"/>
          <w:szCs w:val="20"/>
          <w:lang w:val="en-GB"/>
        </w:rPr>
      </w:r>
    </w:p>
    <w:p>
      <w:pPr>
        <w:pStyle w:val="style0"/>
        <w:jc w:val="both"/>
      </w:pPr>
      <w:r>
        <w:rPr>
          <w:rFonts w:ascii="Century Gothic" w:hAnsi="Century Gothic"/>
          <w:sz w:val="20"/>
          <w:szCs w:val="20"/>
        </w:rPr>
        <w:t xml:space="preserve">Fay, B. y D. Moon 1998. </w:t>
      </w:r>
      <w:r>
        <w:rPr>
          <w:rFonts w:ascii="Century Gothic" w:hAnsi="Century Gothic"/>
          <w:sz w:val="20"/>
          <w:szCs w:val="20"/>
          <w:lang w:val="en-US"/>
        </w:rPr>
        <w:t xml:space="preserve">What World an Adequate Philosophy of Social Science Look Like? En: </w:t>
      </w:r>
      <w:r>
        <w:rPr>
          <w:rFonts w:ascii="Century Gothic" w:hAnsi="Century Gothic"/>
          <w:i/>
          <w:sz w:val="20"/>
          <w:szCs w:val="20"/>
          <w:lang w:val="en-US"/>
        </w:rPr>
        <w:t>Introductory Readings in the Philosophy of Science</w:t>
      </w:r>
      <w:r>
        <w:rPr>
          <w:rFonts w:ascii="Century Gothic" w:hAnsi="Century Gothic"/>
          <w:sz w:val="20"/>
          <w:szCs w:val="20"/>
          <w:lang w:val="en-US"/>
        </w:rPr>
        <w:t xml:space="preserve"> (ed. por E.D. Klemke et al.), pp.  171-189. Prometheus Books, Amherst.</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lang w:val="en-US"/>
        </w:rPr>
        <w:t xml:space="preserve">Tschauner, H. 1996. Middle-range theory, behavioral archaeology, and postempiricist philosophy of science in Archaeology. </w:t>
      </w:r>
      <w:r>
        <w:rPr>
          <w:rFonts w:ascii="Century Gothic" w:hAnsi="Century Gothic"/>
          <w:i/>
          <w:iCs/>
          <w:sz w:val="20"/>
          <w:szCs w:val="20"/>
        </w:rPr>
        <w:t>Journal of Archaeological Method and Theory</w:t>
      </w:r>
      <w:r>
        <w:rPr>
          <w:rFonts w:ascii="Century Gothic" w:hAnsi="Century Gothic"/>
          <w:sz w:val="20"/>
          <w:szCs w:val="20"/>
        </w:rPr>
        <w:t xml:space="preserve"> 3: 1-30.</w:t>
      </w:r>
    </w:p>
    <w:p>
      <w:pPr>
        <w:pStyle w:val="style0"/>
        <w:jc w:val="both"/>
      </w:pPr>
      <w:r>
        <w:rPr>
          <w:rFonts w:ascii="Century Gothic" w:hAnsi="Century Gothic"/>
          <w:sz w:val="20"/>
          <w:szCs w:val="20"/>
        </w:rPr>
      </w:r>
    </w:p>
    <w:p>
      <w:pPr>
        <w:pStyle w:val="style0"/>
        <w:ind w:hanging="0" w:left="708" w:right="0"/>
        <w:jc w:val="both"/>
      </w:pPr>
      <w:r>
        <w:rPr>
          <w:rFonts w:ascii="Century Gothic" w:hAnsi="Century Gothic"/>
          <w:b/>
          <w:bCs/>
          <w:sz w:val="20"/>
          <w:szCs w:val="20"/>
          <w:lang w:val="es-AR"/>
        </w:rPr>
        <w:t xml:space="preserve">3. </w:t>
      </w:r>
      <w:r>
        <w:rPr>
          <w:rFonts w:ascii="Century Gothic" w:hAnsi="Century Gothic"/>
          <w:b/>
          <w:sz w:val="20"/>
          <w:szCs w:val="20"/>
        </w:rPr>
        <w:t>El conocimiento actual como marco de referencia. Etnoarqueología y Etnohistoria.</w:t>
      </w:r>
    </w:p>
    <w:p>
      <w:pPr>
        <w:pStyle w:val="style0"/>
        <w:jc w:val="both"/>
      </w:pPr>
      <w:r>
        <w:rPr>
          <w:rFonts w:ascii="Century Gothic" w:hAnsi="Century Gothic"/>
          <w:sz w:val="20"/>
          <w:szCs w:val="20"/>
        </w:rPr>
      </w:r>
    </w:p>
    <w:p>
      <w:pPr>
        <w:pStyle w:val="style0"/>
        <w:jc w:val="both"/>
      </w:pPr>
      <w:r>
        <w:rPr>
          <w:rFonts w:ascii="Century Gothic" w:hAnsi="Century Gothic"/>
          <w:sz w:val="20"/>
          <w:szCs w:val="20"/>
          <w:lang w:val="es-AR"/>
        </w:rPr>
      </w:r>
    </w:p>
    <w:p>
      <w:pPr>
        <w:pStyle w:val="style0"/>
        <w:jc w:val="both"/>
      </w:pPr>
      <w:r>
        <w:rPr>
          <w:rFonts w:ascii="Century Gothic" w:hAnsi="Century Gothic"/>
          <w:sz w:val="20"/>
          <w:szCs w:val="20"/>
          <w:lang w:val="en-US"/>
        </w:rPr>
        <w:t xml:space="preserve">Binford, L. 2001. </w:t>
      </w:r>
      <w:r>
        <w:rPr>
          <w:rFonts w:ascii="Century Gothic" w:hAnsi="Century Gothic"/>
          <w:i/>
          <w:sz w:val="20"/>
          <w:szCs w:val="20"/>
          <w:lang w:val="en-US"/>
        </w:rPr>
        <w:t>Constructing Frames of Referen</w:t>
      </w:r>
      <w:r>
        <w:rPr>
          <w:rFonts w:ascii="Century Gothic" w:hAnsi="Century Gothic"/>
          <w:sz w:val="20"/>
          <w:szCs w:val="20"/>
          <w:lang w:val="en-US"/>
        </w:rPr>
        <w:t>ces. University of California Press. Cap. 3: 44-52 y Cap. 5: 114-159.</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rPr>
        <w:t xml:space="preserve">Binford, L R. 2007 (1980). </w:t>
      </w:r>
      <w:r>
        <w:rPr>
          <w:rFonts w:ascii="Century Gothic" w:hAnsi="Century Gothic"/>
          <w:sz w:val="20"/>
          <w:szCs w:val="20"/>
          <w:lang w:val="es-AR"/>
        </w:rPr>
        <w:t>Humo de sauce y colas de perro: sistemas de asentamiento de cazadores recolectores y formación de sitios arqueológicos. En:</w:t>
      </w:r>
      <w:r>
        <w:rPr>
          <w:rFonts w:ascii="Century Gothic" w:hAnsi="Century Gothic"/>
          <w:sz w:val="20"/>
          <w:szCs w:val="20"/>
        </w:rPr>
        <w:t xml:space="preserve"> </w:t>
      </w:r>
      <w:r>
        <w:rPr>
          <w:rFonts w:ascii="Century Gothic" w:hAnsi="Century Gothic"/>
          <w:i/>
          <w:sz w:val="20"/>
          <w:szCs w:val="20"/>
        </w:rPr>
        <w:t>Clásicos de Teoría Arqueológica Contemporánea</w:t>
      </w:r>
      <w:r>
        <w:rPr>
          <w:rFonts w:ascii="Century Gothic" w:hAnsi="Century Gothic"/>
          <w:sz w:val="20"/>
          <w:szCs w:val="20"/>
        </w:rPr>
        <w:t>, Sociedad Argentina de Antropología, Buenos Aires.</w:t>
      </w:r>
    </w:p>
    <w:p>
      <w:pPr>
        <w:pStyle w:val="style0"/>
        <w:jc w:val="both"/>
      </w:pPr>
      <w:r>
        <w:rPr>
          <w:rFonts w:ascii="Century Gothic" w:hAnsi="Century Gothic"/>
          <w:sz w:val="20"/>
          <w:szCs w:val="20"/>
        </w:rPr>
      </w:r>
    </w:p>
    <w:p>
      <w:pPr>
        <w:pStyle w:val="style0"/>
        <w:jc w:val="both"/>
      </w:pPr>
      <w:r>
        <w:rPr>
          <w:rFonts w:ascii="Century Gothic" w:hAnsi="Century Gothic"/>
          <w:sz w:val="20"/>
          <w:szCs w:val="20"/>
          <w:lang w:val="en-US"/>
        </w:rPr>
        <w:t xml:space="preserve">Fagan, B. 2000. The Medieval Warm Period. En: </w:t>
      </w:r>
      <w:r>
        <w:rPr>
          <w:rFonts w:ascii="Century Gothic" w:hAnsi="Century Gothic"/>
          <w:i/>
          <w:sz w:val="20"/>
          <w:szCs w:val="20"/>
          <w:lang w:val="en-US"/>
        </w:rPr>
        <w:t>The Little Ice Age</w:t>
      </w:r>
      <w:r>
        <w:rPr>
          <w:rFonts w:ascii="Century Gothic" w:hAnsi="Century Gothic"/>
          <w:sz w:val="20"/>
          <w:szCs w:val="20"/>
          <w:lang w:val="en-US"/>
        </w:rPr>
        <w:t>. Cap. 1: 3-21. Basic Books, New York.</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Sanhueza, C.  2005 Espacio y Tiempo en los Limites del Mundo. Los Incas en el Despoblado de Atacama. </w:t>
      </w:r>
      <w:r>
        <w:rPr>
          <w:rFonts w:ascii="Century Gothic" w:hAnsi="Century Gothic"/>
          <w:i/>
          <w:sz w:val="20"/>
          <w:szCs w:val="20"/>
        </w:rPr>
        <w:t>Boletín del Museo Chileno de Arte Precolombino</w:t>
      </w:r>
      <w:r>
        <w:rPr>
          <w:rFonts w:ascii="Century Gothic" w:hAnsi="Century Gothic"/>
          <w:sz w:val="20"/>
          <w:szCs w:val="20"/>
        </w:rPr>
        <w:t xml:space="preserve"> 10:51-77.</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r>
    </w:p>
    <w:p>
      <w:pPr>
        <w:pStyle w:val="style0"/>
        <w:jc w:val="both"/>
      </w:pPr>
      <w:r>
        <w:rPr>
          <w:rFonts w:ascii="Century Gothic" w:hAnsi="Century Gothic"/>
          <w:sz w:val="20"/>
          <w:szCs w:val="20"/>
        </w:rPr>
      </w:r>
    </w:p>
    <w:p>
      <w:pPr>
        <w:pStyle w:val="style0"/>
        <w:ind w:hanging="0" w:left="708" w:right="0"/>
        <w:jc w:val="both"/>
      </w:pPr>
      <w:r>
        <w:rPr>
          <w:rFonts w:ascii="Century Gothic" w:hAnsi="Century Gothic"/>
          <w:b/>
          <w:sz w:val="20"/>
          <w:szCs w:val="20"/>
          <w:lang w:val="es-AR"/>
        </w:rPr>
        <w:t>4- Aplicaciones de teoría a casos de análisis</w:t>
      </w:r>
    </w:p>
    <w:p>
      <w:pPr>
        <w:pStyle w:val="style0"/>
        <w:jc w:val="both"/>
      </w:pPr>
      <w:r>
        <w:rPr>
          <w:rFonts w:ascii="Century Gothic" w:hAnsi="Century Gothic"/>
          <w:sz w:val="20"/>
          <w:szCs w:val="20"/>
          <w:lang w:val="es-AR"/>
        </w:rPr>
      </w:r>
    </w:p>
    <w:p>
      <w:pPr>
        <w:pStyle w:val="style0"/>
        <w:jc w:val="both"/>
      </w:pPr>
      <w:r>
        <w:rPr>
          <w:rFonts w:ascii="Century Gothic" w:hAnsi="Century Gothic"/>
          <w:b/>
          <w:i/>
          <w:sz w:val="20"/>
          <w:szCs w:val="20"/>
          <w:lang w:val="es-AR"/>
        </w:rPr>
        <w:t>4.1. Teoría en cazadores-recolectores.</w:t>
      </w:r>
    </w:p>
    <w:p>
      <w:pPr>
        <w:pStyle w:val="style0"/>
        <w:jc w:val="both"/>
      </w:pPr>
      <w:r>
        <w:rPr>
          <w:rFonts w:ascii="Century Gothic" w:hAnsi="Century Gothic"/>
          <w:sz w:val="20"/>
          <w:szCs w:val="20"/>
          <w:lang w:val="es-AR"/>
        </w:rPr>
      </w:r>
    </w:p>
    <w:p>
      <w:pPr>
        <w:pStyle w:val="style0"/>
        <w:jc w:val="both"/>
      </w:pPr>
      <w:r>
        <w:rPr>
          <w:rFonts w:ascii="Century Gothic" w:hAnsi="Century Gothic"/>
          <w:sz w:val="20"/>
          <w:szCs w:val="20"/>
          <w:lang w:val="es-AR"/>
        </w:rPr>
        <w:t xml:space="preserve">Bate, L.F. 1986. El Modo de Producción Cazador-Recolector. </w:t>
      </w:r>
      <w:r>
        <w:rPr>
          <w:rFonts w:ascii="Century Gothic" w:hAnsi="Century Gothic"/>
          <w:i/>
          <w:iCs/>
          <w:sz w:val="20"/>
          <w:szCs w:val="20"/>
          <w:lang w:val="es-AR"/>
        </w:rPr>
        <w:t>Boletín de Antropología Americana</w:t>
      </w:r>
      <w:r>
        <w:rPr>
          <w:rFonts w:ascii="Century Gothic" w:hAnsi="Century Gothic"/>
          <w:sz w:val="20"/>
          <w:szCs w:val="20"/>
          <w:lang w:val="es-AR"/>
        </w:rPr>
        <w:t xml:space="preserve"> nº13: 3-31.</w:t>
      </w:r>
    </w:p>
    <w:p>
      <w:pPr>
        <w:pStyle w:val="style0"/>
        <w:jc w:val="both"/>
      </w:pPr>
      <w:r>
        <w:rPr>
          <w:rFonts w:ascii="Century Gothic" w:hAnsi="Century Gothic"/>
          <w:sz w:val="20"/>
          <w:szCs w:val="20"/>
        </w:rPr>
      </w:r>
    </w:p>
    <w:p>
      <w:pPr>
        <w:pStyle w:val="style0"/>
        <w:jc w:val="both"/>
      </w:pPr>
      <w:r>
        <w:rPr>
          <w:rFonts w:ascii="Century Gothic" w:hAnsi="Century Gothic"/>
          <w:sz w:val="20"/>
          <w:szCs w:val="20"/>
          <w:lang w:val="en-US"/>
        </w:rPr>
        <w:t xml:space="preserve">Binford, L. R. 1990. Mobility, Housing, and Environment: a Comparative Study. </w:t>
      </w:r>
      <w:r>
        <w:rPr>
          <w:rFonts w:ascii="Century Gothic" w:hAnsi="Century Gothic"/>
          <w:i/>
          <w:sz w:val="20"/>
          <w:szCs w:val="20"/>
          <w:lang w:val="es-AR"/>
        </w:rPr>
        <w:t>Journal of Anthropological Research</w:t>
      </w:r>
      <w:r>
        <w:rPr>
          <w:rFonts w:ascii="Century Gothic" w:hAnsi="Century Gothic"/>
          <w:sz w:val="20"/>
          <w:szCs w:val="20"/>
          <w:lang w:val="es-AR"/>
        </w:rPr>
        <w:t xml:space="preserve"> 46: 119-152.</w:t>
      </w:r>
    </w:p>
    <w:p>
      <w:pPr>
        <w:pStyle w:val="style0"/>
        <w:jc w:val="both"/>
      </w:pPr>
      <w:r>
        <w:rPr>
          <w:rFonts w:ascii="Century Gothic" w:hAnsi="Century Gothic"/>
          <w:sz w:val="20"/>
          <w:szCs w:val="20"/>
          <w:lang w:val="es-AR"/>
        </w:rPr>
      </w:r>
    </w:p>
    <w:p>
      <w:pPr>
        <w:pStyle w:val="style0"/>
        <w:jc w:val="both"/>
      </w:pPr>
      <w:r>
        <w:rPr>
          <w:rFonts w:ascii="Century Gothic" w:hAnsi="Century Gothic"/>
          <w:sz w:val="20"/>
          <w:szCs w:val="20"/>
        </w:rPr>
        <w:t xml:space="preserve">Borrero, L.A. 1989-90. Evolución cultural divergente en la Patagonia austral. </w:t>
      </w:r>
      <w:r>
        <w:rPr>
          <w:rFonts w:ascii="Century Gothic" w:hAnsi="Century Gothic"/>
          <w:i/>
          <w:sz w:val="20"/>
          <w:szCs w:val="20"/>
        </w:rPr>
        <w:t>Anales del Instituto de la Patagonia</w:t>
      </w:r>
      <w:r>
        <w:rPr>
          <w:rFonts w:ascii="Century Gothic" w:hAnsi="Century Gothic"/>
          <w:sz w:val="20"/>
          <w:szCs w:val="20"/>
        </w:rPr>
        <w:t xml:space="preserve"> (Serie Ciencias Sociales) 19: 133-139.</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Neme, G. 2007. </w:t>
      </w:r>
      <w:r>
        <w:rPr>
          <w:rFonts w:ascii="Century Gothic" w:hAnsi="Century Gothic"/>
          <w:i/>
          <w:sz w:val="20"/>
          <w:szCs w:val="20"/>
        </w:rPr>
        <w:t>Cazadores-recolectores de altura en los Andes meridionales</w:t>
      </w:r>
      <w:r>
        <w:rPr>
          <w:rFonts w:ascii="Century Gothic" w:hAnsi="Century Gothic"/>
          <w:sz w:val="20"/>
          <w:szCs w:val="20"/>
        </w:rPr>
        <w:t xml:space="preserve">. </w:t>
      </w:r>
      <w:r>
        <w:rPr>
          <w:rFonts w:ascii="Century Gothic" w:hAnsi="Century Gothic"/>
          <w:sz w:val="20"/>
          <w:szCs w:val="20"/>
          <w:lang w:val="en-US"/>
        </w:rPr>
        <w:t>BAR International Series 1591, Capítulo 1. Aechaeopress, Oxford.</w:t>
      </w:r>
    </w:p>
    <w:p>
      <w:pPr>
        <w:pStyle w:val="style0"/>
        <w:jc w:val="both"/>
      </w:pPr>
      <w:r>
        <w:rPr>
          <w:rFonts w:ascii="Century Gothic" w:hAnsi="Century Gothic"/>
          <w:sz w:val="20"/>
          <w:szCs w:val="20"/>
          <w:lang w:val="en-US"/>
        </w:rPr>
      </w:r>
    </w:p>
    <w:p>
      <w:pPr>
        <w:pStyle w:val="style0"/>
        <w:jc w:val="both"/>
      </w:pPr>
      <w:r>
        <w:rPr>
          <w:rFonts w:ascii="Century Gothic" w:hAnsi="Century Gothic"/>
          <w:color w:val="000000"/>
          <w:sz w:val="20"/>
          <w:szCs w:val="20"/>
          <w:lang w:val="en-US"/>
        </w:rPr>
        <w:t>Wendrich, H. y A. Barnard. 2008. The Archaeology of Mobility: Definitions and Research Approaches.</w:t>
      </w:r>
      <w:r>
        <w:rPr>
          <w:rFonts w:ascii="Century Gothic" w:hAnsi="Century Gothic"/>
          <w:i/>
          <w:color w:val="000000"/>
          <w:sz w:val="20"/>
          <w:szCs w:val="20"/>
          <w:lang w:val="en-US"/>
        </w:rPr>
        <w:t xml:space="preserve"> The Archaeology of Mobility</w:t>
      </w:r>
      <w:r>
        <w:rPr>
          <w:rFonts w:ascii="Century Gothic" w:hAnsi="Century Gothic"/>
          <w:color w:val="000000"/>
          <w:sz w:val="20"/>
          <w:szCs w:val="20"/>
          <w:lang w:val="en-US"/>
        </w:rPr>
        <w:t>. Ed. By H. Barnard &amp; W. Wendrich. Cap. 1: 1-21.</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lang w:val="en-US"/>
        </w:rPr>
      </w:r>
    </w:p>
    <w:p>
      <w:pPr>
        <w:pStyle w:val="style0"/>
        <w:jc w:val="both"/>
      </w:pPr>
      <w:r>
        <w:rPr>
          <w:rFonts w:ascii="Century Gothic" w:hAnsi="Century Gothic"/>
          <w:b/>
          <w:i/>
          <w:sz w:val="20"/>
          <w:szCs w:val="20"/>
          <w:lang w:val="en-US"/>
        </w:rPr>
        <w:t>4.1.1.</w:t>
      </w:r>
      <w:r>
        <w:rPr>
          <w:rFonts w:ascii="Century Gothic" w:hAnsi="Century Gothic"/>
          <w:b/>
          <w:i/>
          <w:sz w:val="20"/>
          <w:szCs w:val="20"/>
          <w:lang w:val="es-AR"/>
        </w:rPr>
        <w:t>Cambio climático y cambio cultural:</w:t>
      </w:r>
    </w:p>
    <w:p>
      <w:pPr>
        <w:pStyle w:val="style0"/>
        <w:jc w:val="both"/>
      </w:pPr>
      <w:r>
        <w:rPr>
          <w:rFonts w:ascii="Century Gothic" w:hAnsi="Century Gothic"/>
          <w:sz w:val="20"/>
          <w:szCs w:val="20"/>
          <w:lang w:val="es-AR"/>
        </w:rPr>
      </w:r>
    </w:p>
    <w:p>
      <w:pPr>
        <w:pStyle w:val="style0"/>
        <w:jc w:val="both"/>
      </w:pPr>
      <w:r>
        <w:rPr>
          <w:rFonts w:ascii="Century Gothic" w:hAnsi="Century Gothic"/>
          <w:color w:val="000000"/>
          <w:sz w:val="20"/>
          <w:szCs w:val="20"/>
          <w:lang w:val="en-US"/>
        </w:rPr>
        <w:t xml:space="preserve">Anderson, D., K. Maasch, D. Sandweiss and P. Mayewski. 2007. Climate and culture change: exploring Holocene transitions. En: </w:t>
      </w:r>
      <w:r>
        <w:rPr>
          <w:rFonts w:ascii="Century Gothic" w:hAnsi="Century Gothic"/>
          <w:i/>
          <w:color w:val="000000"/>
          <w:sz w:val="20"/>
          <w:szCs w:val="20"/>
          <w:lang w:val="en-US"/>
        </w:rPr>
        <w:t>Climate change and Cultural Dynamics: A Global Perspective on Mid-Holocene Transitions</w:t>
      </w:r>
      <w:r>
        <w:rPr>
          <w:rFonts w:ascii="Century Gothic" w:hAnsi="Century Gothic"/>
          <w:color w:val="000000"/>
          <w:sz w:val="20"/>
          <w:szCs w:val="20"/>
          <w:lang w:val="en-US"/>
        </w:rPr>
        <w:t>. D. Anderson, K, Maarsch and D. Sandweiss Eds. Cap. 1: 1-23.</w:t>
      </w:r>
    </w:p>
    <w:p>
      <w:pPr>
        <w:pStyle w:val="style0"/>
        <w:jc w:val="both"/>
      </w:pPr>
      <w:r>
        <w:rPr>
          <w:rFonts w:ascii="Century Gothic" w:hAnsi="Century Gothic"/>
          <w:color w:val="000000"/>
          <w:sz w:val="20"/>
          <w:szCs w:val="20"/>
          <w:lang w:val="en-US"/>
        </w:rPr>
      </w:r>
    </w:p>
    <w:p>
      <w:pPr>
        <w:pStyle w:val="style0"/>
        <w:jc w:val="both"/>
      </w:pPr>
      <w:r>
        <w:rPr>
          <w:rFonts w:ascii="Century Gothic" w:hAnsi="Century Gothic"/>
          <w:color w:val="000000"/>
          <w:sz w:val="20"/>
          <w:szCs w:val="20"/>
          <w:lang w:val="en-US"/>
        </w:rPr>
        <w:t xml:space="preserve">Dincauze, D. 2000. </w:t>
      </w:r>
      <w:r>
        <w:rPr>
          <w:rFonts w:ascii="Century Gothic" w:hAnsi="Century Gothic"/>
          <w:i/>
          <w:color w:val="000000"/>
          <w:sz w:val="20"/>
          <w:szCs w:val="20"/>
          <w:lang w:val="en-US"/>
        </w:rPr>
        <w:t>Environmental Archaeology. Principles and Practice</w:t>
      </w:r>
      <w:r>
        <w:rPr>
          <w:rFonts w:ascii="Century Gothic" w:hAnsi="Century Gothic"/>
          <w:color w:val="000000"/>
          <w:sz w:val="20"/>
          <w:szCs w:val="20"/>
          <w:lang w:val="en-US"/>
        </w:rPr>
        <w:t xml:space="preserve">. Cambridge University Press. </w:t>
      </w:r>
      <w:r>
        <w:rPr>
          <w:rFonts w:ascii="Century Gothic" w:hAnsi="Century Gothic"/>
          <w:color w:val="000000"/>
          <w:sz w:val="20"/>
          <w:szCs w:val="20"/>
          <w:lang w:val="es-AR"/>
        </w:rPr>
        <w:t>Cap.2: 20-35; Cap. 4: 63-79.</w:t>
      </w:r>
    </w:p>
    <w:p>
      <w:pPr>
        <w:pStyle w:val="style0"/>
        <w:jc w:val="both"/>
      </w:pPr>
      <w:r>
        <w:rPr>
          <w:rFonts w:ascii="Century Gothic" w:hAnsi="Century Gothic"/>
          <w:color w:val="000000"/>
          <w:sz w:val="20"/>
          <w:szCs w:val="20"/>
          <w:lang w:val="es-AR"/>
        </w:rPr>
      </w:r>
    </w:p>
    <w:p>
      <w:pPr>
        <w:pStyle w:val="style0"/>
        <w:jc w:val="both"/>
      </w:pPr>
      <w:r>
        <w:rPr>
          <w:rFonts w:ascii="Century Gothic" w:hAnsi="Century Gothic"/>
          <w:iCs/>
          <w:color w:val="000000"/>
          <w:sz w:val="20"/>
          <w:szCs w:val="20"/>
          <w:lang w:val="es-ES"/>
        </w:rPr>
        <w:t xml:space="preserve">Goñi, R. y G. Barrientos. 2004. Poblamiento tardío y movilidad en la cuenca del lago Salitroso”. </w:t>
      </w:r>
      <w:r>
        <w:rPr>
          <w:rFonts w:ascii="Century Gothic" w:hAnsi="Century Gothic"/>
          <w:i/>
          <w:iCs/>
          <w:color w:val="000000"/>
          <w:sz w:val="20"/>
          <w:szCs w:val="20"/>
          <w:lang w:val="es-ES"/>
        </w:rPr>
        <w:t>Contra Viento y Marea. Arqueología de Patagonia.</w:t>
      </w:r>
      <w:r>
        <w:rPr>
          <w:rFonts w:ascii="Century Gothic" w:hAnsi="Century Gothic"/>
          <w:b/>
          <w:i/>
          <w:iCs/>
          <w:color w:val="000000"/>
          <w:sz w:val="20"/>
          <w:szCs w:val="20"/>
          <w:lang w:val="es-ES"/>
        </w:rPr>
        <w:t xml:space="preserve"> </w:t>
      </w:r>
      <w:r>
        <w:rPr>
          <w:rFonts w:ascii="Century Gothic" w:hAnsi="Century Gothic"/>
          <w:iCs/>
          <w:color w:val="000000"/>
          <w:sz w:val="20"/>
          <w:szCs w:val="20"/>
          <w:lang w:val="es-ES"/>
        </w:rPr>
        <w:t xml:space="preserve">Editado por T.Civalero, P. Fernández y A.G. Guráieb. </w:t>
      </w:r>
      <w:r>
        <w:rPr>
          <w:rFonts w:ascii="Century Gothic" w:hAnsi="Century Gothic"/>
          <w:iCs/>
          <w:color w:val="000000"/>
          <w:sz w:val="20"/>
          <w:szCs w:val="20"/>
          <w:lang w:val="en-US"/>
        </w:rPr>
        <w:t>INAPL, Bs.As. Pp: 313-324.</w:t>
      </w:r>
    </w:p>
    <w:p>
      <w:pPr>
        <w:pStyle w:val="style0"/>
        <w:jc w:val="both"/>
      </w:pPr>
      <w:r>
        <w:rPr>
          <w:rFonts w:ascii="Century Gothic" w:hAnsi="Century Gothic"/>
          <w:iCs/>
          <w:color w:val="000000"/>
          <w:sz w:val="20"/>
          <w:szCs w:val="20"/>
          <w:lang w:val="en-US"/>
        </w:rPr>
      </w:r>
    </w:p>
    <w:p>
      <w:pPr>
        <w:pStyle w:val="style0"/>
        <w:jc w:val="both"/>
      </w:pPr>
      <w:r>
        <w:rPr>
          <w:rFonts w:ascii="Century Gothic" w:hAnsi="Century Gothic"/>
          <w:bCs/>
          <w:sz w:val="20"/>
          <w:szCs w:val="20"/>
          <w:lang w:val="en-GB"/>
        </w:rPr>
        <w:t xml:space="preserve">Jones, T.J., G. M. Brown, L. M. Rraab, J. M. Mcvickar, W. G. Spaulding, D.J. Kennett, A. York y P. L. Walker. </w:t>
      </w:r>
      <w:r>
        <w:rPr>
          <w:rFonts w:ascii="Century Gothic" w:hAnsi="Century Gothic"/>
          <w:sz w:val="20"/>
          <w:szCs w:val="20"/>
        </w:rPr>
        <w:t xml:space="preserve">1999. Imperativos ambientales reconsiderados. Crisis demográficas en el oeste de Norteamérica durante la Anomalía Climática Medieval. </w:t>
      </w:r>
      <w:r>
        <w:rPr>
          <w:rFonts w:ascii="Century Gothic" w:hAnsi="Century Gothic"/>
          <w:i/>
          <w:sz w:val="20"/>
          <w:szCs w:val="20"/>
          <w:lang w:val="es-AR"/>
        </w:rPr>
        <w:t>Current Anthropology</w:t>
      </w:r>
      <w:r>
        <w:rPr>
          <w:rFonts w:ascii="Century Gothic" w:hAnsi="Century Gothic"/>
          <w:sz w:val="20"/>
          <w:szCs w:val="20"/>
          <w:lang w:val="es-AR"/>
        </w:rPr>
        <w:t xml:space="preserve"> 40: 137-170.</w:t>
      </w:r>
    </w:p>
    <w:p>
      <w:pPr>
        <w:pStyle w:val="style0"/>
        <w:jc w:val="both"/>
      </w:pPr>
      <w:r>
        <w:rPr>
          <w:rFonts w:ascii="Century Gothic" w:hAnsi="Century Gothic"/>
          <w:iCs/>
          <w:color w:val="000000"/>
          <w:sz w:val="20"/>
          <w:szCs w:val="20"/>
          <w:lang w:val="en-GB"/>
        </w:rPr>
      </w:r>
    </w:p>
    <w:p>
      <w:pPr>
        <w:pStyle w:val="style0"/>
        <w:jc w:val="both"/>
      </w:pPr>
      <w:r>
        <w:rPr>
          <w:rFonts w:ascii="Century Gothic" w:hAnsi="Century Gothic"/>
          <w:iCs/>
          <w:color w:val="000000"/>
          <w:sz w:val="20"/>
          <w:szCs w:val="20"/>
          <w:lang w:val="en-GB"/>
        </w:rPr>
        <w:t xml:space="preserve">Markgraf, V. and H. Díaz. 2000. The Past ENSO Record: A Synthesis. En: </w:t>
      </w:r>
      <w:r>
        <w:rPr>
          <w:rFonts w:ascii="Century Gothic" w:hAnsi="Century Gothic"/>
          <w:i/>
          <w:iCs/>
          <w:color w:val="000000"/>
          <w:sz w:val="20"/>
          <w:szCs w:val="20"/>
          <w:lang w:val="en-GB"/>
        </w:rPr>
        <w:t>El Niño and the Southern oscillation. Multiscale Variability and Global and Regional Impacts</w:t>
      </w:r>
      <w:r>
        <w:rPr>
          <w:rFonts w:ascii="Century Gothic" w:hAnsi="Century Gothic"/>
          <w:iCs/>
          <w:color w:val="000000"/>
          <w:sz w:val="20"/>
          <w:szCs w:val="20"/>
          <w:lang w:val="en-GB"/>
        </w:rPr>
        <w:t>. H. Díaz and V. Markgraf Eds. Cap. 13: 465-488. Cambridge University Press.</w:t>
      </w:r>
    </w:p>
    <w:p>
      <w:pPr>
        <w:pStyle w:val="style0"/>
        <w:jc w:val="both"/>
      </w:pPr>
      <w:r>
        <w:rPr>
          <w:rFonts w:ascii="Century Gothic" w:hAnsi="Century Gothic"/>
          <w:color w:val="000000"/>
          <w:sz w:val="20"/>
          <w:szCs w:val="20"/>
          <w:lang w:val="en-US"/>
        </w:rPr>
      </w:r>
    </w:p>
    <w:p>
      <w:pPr>
        <w:pStyle w:val="style0"/>
        <w:jc w:val="both"/>
      </w:pPr>
      <w:r>
        <w:rPr>
          <w:rFonts w:ascii="Century Gothic" w:hAnsi="Century Gothic"/>
          <w:color w:val="000000"/>
          <w:sz w:val="20"/>
          <w:szCs w:val="20"/>
          <w:lang w:val="es-AR"/>
        </w:rPr>
        <w:t>M</w:t>
      </w:r>
      <w:r>
        <w:rPr>
          <w:rFonts w:ascii="Century Gothic" w:hAnsi="Century Gothic"/>
          <w:color w:val="000000"/>
          <w:sz w:val="20"/>
          <w:szCs w:val="20"/>
        </w:rPr>
        <w:t xml:space="preserve">orales, M., R. Barberena, J. Belardi, L. Borrero, V. Cortegoso, V. Durán, A. Gil, R. Goñi, A. Guerci, G. Neme, H. Yacobaccio y M. Zárate. </w:t>
      </w:r>
      <w:r>
        <w:rPr>
          <w:rFonts w:ascii="Century Gothic" w:hAnsi="Century Gothic"/>
          <w:color w:val="000000"/>
          <w:sz w:val="20"/>
          <w:szCs w:val="20"/>
          <w:lang w:val="en-GB"/>
        </w:rPr>
        <w:t xml:space="preserve">2009. Reviewing human – environment interactions in arid regions of southern South America during the past 3000 years. </w:t>
      </w:r>
      <w:r>
        <w:rPr>
          <w:rFonts w:ascii="Century Gothic" w:hAnsi="Century Gothic"/>
          <w:i/>
          <w:color w:val="000000"/>
          <w:sz w:val="20"/>
          <w:szCs w:val="20"/>
        </w:rPr>
        <w:t xml:space="preserve">Palaeogeography, Palaeoclimatology, Palaeoecology, </w:t>
      </w:r>
      <w:r>
        <w:rPr>
          <w:rFonts w:ascii="Century Gothic" w:hAnsi="Century Gothic"/>
          <w:color w:val="000000"/>
          <w:sz w:val="20"/>
          <w:szCs w:val="20"/>
        </w:rPr>
        <w:t>Vol. 281: 283-295.</w:t>
      </w:r>
    </w:p>
    <w:p>
      <w:pPr>
        <w:pStyle w:val="style0"/>
        <w:jc w:val="both"/>
      </w:pPr>
      <w:r>
        <w:rPr>
          <w:rFonts w:ascii="Century Gothic" w:hAnsi="Century Gothic"/>
          <w:color w:val="000000"/>
          <w:sz w:val="20"/>
          <w:szCs w:val="20"/>
          <w:lang w:val="en-US"/>
        </w:rPr>
      </w:r>
    </w:p>
    <w:p>
      <w:pPr>
        <w:pStyle w:val="style0"/>
        <w:jc w:val="both"/>
      </w:pPr>
      <w:r>
        <w:rPr>
          <w:rFonts w:ascii="Century Gothic" w:hAnsi="Century Gothic"/>
          <w:b/>
          <w:i/>
          <w:color w:val="000000"/>
          <w:sz w:val="20"/>
          <w:szCs w:val="20"/>
          <w:lang w:val="en-US"/>
        </w:rPr>
        <w:t>4.1.2.Complejidad en cazadores-recolectores:</w:t>
      </w:r>
    </w:p>
    <w:p>
      <w:pPr>
        <w:pStyle w:val="style0"/>
        <w:ind w:firstLine="708" w:left="0" w:right="0"/>
        <w:jc w:val="both"/>
      </w:pPr>
      <w:r>
        <w:rPr>
          <w:rFonts w:ascii="Century Gothic" w:hAnsi="Century Gothic"/>
          <w:i/>
          <w:color w:val="000000"/>
          <w:sz w:val="20"/>
          <w:szCs w:val="20"/>
          <w:lang w:val="en-US"/>
        </w:rPr>
      </w:r>
    </w:p>
    <w:p>
      <w:pPr>
        <w:pStyle w:val="style0"/>
        <w:jc w:val="both"/>
      </w:pPr>
      <w:r>
        <w:rPr>
          <w:rFonts w:ascii="Century Gothic" w:hAnsi="Century Gothic"/>
          <w:color w:val="000000"/>
          <w:sz w:val="20"/>
          <w:szCs w:val="20"/>
          <w:lang w:val="en-US"/>
        </w:rPr>
        <w:t xml:space="preserve">Arnold, J.E. 1996. The Archaeology of Complex Hunter-gatherers. </w:t>
      </w:r>
      <w:r>
        <w:rPr>
          <w:rFonts w:ascii="Century Gothic" w:hAnsi="Century Gothic"/>
          <w:i/>
          <w:iCs/>
          <w:color w:val="000000"/>
          <w:sz w:val="20"/>
          <w:szCs w:val="20"/>
          <w:lang w:val="en-US"/>
        </w:rPr>
        <w:t>Journal of Archaeological Method and Theory</w:t>
      </w:r>
      <w:r>
        <w:rPr>
          <w:rFonts w:ascii="Century Gothic" w:hAnsi="Century Gothic"/>
          <w:color w:val="000000"/>
          <w:sz w:val="20"/>
          <w:szCs w:val="20"/>
          <w:lang w:val="en-US"/>
        </w:rPr>
        <w:t>, vol.3, nº2: 77-126.</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lang w:val="es-AR"/>
        </w:rPr>
        <w:t xml:space="preserve">Dillehay, T.D. 2006 (2008). Organización y espacios sociopúblicos incipientes: tres casos de los Andes. </w:t>
      </w:r>
      <w:r>
        <w:rPr>
          <w:rFonts w:ascii="Century Gothic" w:hAnsi="Century Gothic"/>
          <w:i/>
          <w:sz w:val="20"/>
          <w:szCs w:val="20"/>
          <w:lang w:val="es-AR"/>
        </w:rPr>
        <w:t>Boletín de Arqueología PUCP</w:t>
      </w:r>
      <w:r>
        <w:rPr>
          <w:rFonts w:ascii="Century Gothic" w:hAnsi="Century Gothic"/>
          <w:sz w:val="20"/>
          <w:szCs w:val="20"/>
          <w:lang w:val="es-AR"/>
        </w:rPr>
        <w:t xml:space="preserve"> 10: 13-36.</w:t>
      </w:r>
    </w:p>
    <w:p>
      <w:pPr>
        <w:pStyle w:val="style0"/>
        <w:jc w:val="both"/>
      </w:pPr>
      <w:r>
        <w:rPr>
          <w:rFonts w:ascii="Century Gothic" w:hAnsi="Century Gothic"/>
          <w:sz w:val="20"/>
          <w:szCs w:val="20"/>
        </w:rPr>
      </w:r>
    </w:p>
    <w:p>
      <w:pPr>
        <w:pStyle w:val="style0"/>
      </w:pPr>
      <w:r>
        <w:rPr>
          <w:rFonts w:ascii="Century Gothic" w:hAnsi="Century Gothic"/>
          <w:sz w:val="20"/>
          <w:szCs w:val="20"/>
        </w:rPr>
        <w:t>Kelly, R.L. 1995.</w:t>
      </w:r>
      <w:r>
        <w:rPr>
          <w:rFonts w:ascii="Century Gothic" w:hAnsi="Century Gothic"/>
          <w:sz w:val="20"/>
          <w:szCs w:val="20"/>
          <w:lang w:val="en-US"/>
        </w:rPr>
        <w:t xml:space="preserve"> </w:t>
      </w:r>
      <w:r>
        <w:rPr>
          <w:rFonts w:ascii="Century Gothic" w:hAnsi="Century Gothic"/>
          <w:i/>
          <w:iCs/>
          <w:sz w:val="20"/>
          <w:szCs w:val="20"/>
          <w:lang w:val="en-US"/>
        </w:rPr>
        <w:t>The Foraging Spectrum. Diversity in Hunter-Gatherer Lifeways</w:t>
      </w:r>
      <w:r>
        <w:rPr>
          <w:rFonts w:ascii="Century Gothic" w:hAnsi="Century Gothic"/>
          <w:sz w:val="20"/>
          <w:szCs w:val="20"/>
          <w:lang w:val="en-US"/>
        </w:rPr>
        <w:t xml:space="preserve">. </w:t>
      </w:r>
      <w:r>
        <w:rPr>
          <w:rFonts w:ascii="Century Gothic" w:hAnsi="Century Gothic"/>
          <w:sz w:val="20"/>
          <w:szCs w:val="20"/>
        </w:rPr>
        <w:t>Caps. 1y 8. Smithsonian Institution Press, Washington.</w:t>
      </w:r>
    </w:p>
    <w:p>
      <w:pPr>
        <w:pStyle w:val="style0"/>
        <w:jc w:val="both"/>
      </w:pPr>
      <w:r>
        <w:rPr>
          <w:rFonts w:ascii="Century Gothic" w:hAnsi="Century Gothic"/>
          <w:sz w:val="20"/>
          <w:szCs w:val="20"/>
          <w:lang w:val="es-AR"/>
        </w:rPr>
      </w:r>
    </w:p>
    <w:p>
      <w:pPr>
        <w:pStyle w:val="style0"/>
        <w:jc w:val="both"/>
      </w:pPr>
      <w:r>
        <w:rPr>
          <w:rFonts w:ascii="Century Gothic" w:hAnsi="Century Gothic"/>
          <w:sz w:val="20"/>
          <w:szCs w:val="20"/>
        </w:rPr>
        <w:t xml:space="preserve">Sassaman, K. 2004. </w:t>
      </w:r>
      <w:r>
        <w:rPr>
          <w:rFonts w:ascii="Century Gothic" w:hAnsi="Century Gothic"/>
          <w:sz w:val="20"/>
          <w:szCs w:val="20"/>
          <w:lang w:val="en-US"/>
        </w:rPr>
        <w:t xml:space="preserve">Complex Hunter-Gatherers in Evolution and History: A North American Perspective. </w:t>
      </w:r>
      <w:r>
        <w:rPr>
          <w:rFonts w:ascii="Century Gothic" w:hAnsi="Century Gothic"/>
          <w:i/>
          <w:sz w:val="20"/>
          <w:szCs w:val="20"/>
        </w:rPr>
        <w:t>Journal of Archaeological Research</w:t>
      </w:r>
      <w:r>
        <w:rPr>
          <w:rFonts w:ascii="Century Gothic" w:hAnsi="Century Gothic"/>
          <w:sz w:val="20"/>
          <w:szCs w:val="20"/>
        </w:rPr>
        <w:t>, Vol. 12, N 3: 227-280.</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Yacobaccio, H.D.  2006 (2008). Intensificación económica y complejidad social en cazadores-recolectores surandinos. </w:t>
      </w:r>
      <w:r>
        <w:rPr>
          <w:rFonts w:ascii="Century Gothic" w:hAnsi="Century Gothic"/>
          <w:i/>
          <w:sz w:val="20"/>
          <w:szCs w:val="20"/>
        </w:rPr>
        <w:t>Boletín de Arqueología PUCP</w:t>
      </w:r>
      <w:r>
        <w:rPr>
          <w:rFonts w:ascii="Century Gothic" w:hAnsi="Century Gothic"/>
          <w:sz w:val="20"/>
          <w:szCs w:val="20"/>
        </w:rPr>
        <w:t xml:space="preserve"> 10: 305-320.</w:t>
      </w:r>
    </w:p>
    <w:p>
      <w:pPr>
        <w:pStyle w:val="style0"/>
        <w:jc w:val="both"/>
      </w:pPr>
      <w:r>
        <w:rPr>
          <w:rFonts w:ascii="Century Gothic" w:hAnsi="Century Gothic"/>
          <w:b/>
          <w:i/>
          <w:sz w:val="20"/>
          <w:szCs w:val="20"/>
          <w:lang w:val="es-AR"/>
        </w:rPr>
      </w:r>
    </w:p>
    <w:p>
      <w:pPr>
        <w:pStyle w:val="style0"/>
        <w:jc w:val="both"/>
      </w:pPr>
      <w:r>
        <w:rPr>
          <w:rFonts w:ascii="Century Gothic" w:hAnsi="Century Gothic"/>
          <w:b/>
          <w:i/>
          <w:sz w:val="20"/>
          <w:szCs w:val="20"/>
          <w:lang w:val="es-AR"/>
        </w:rPr>
        <w:t>4.2. Teorías en sociedades productoras</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Aschero, C.A. 2007. Iconos, </w:t>
      </w:r>
      <w:r>
        <w:rPr>
          <w:rFonts w:ascii="Century Gothic" w:hAnsi="Century Gothic"/>
          <w:i/>
          <w:sz w:val="20"/>
          <w:szCs w:val="20"/>
        </w:rPr>
        <w:t xml:space="preserve">Huancas </w:t>
      </w:r>
      <w:r>
        <w:rPr>
          <w:rFonts w:ascii="Century Gothic" w:hAnsi="Century Gothic"/>
          <w:sz w:val="20"/>
          <w:szCs w:val="20"/>
        </w:rPr>
        <w:t xml:space="preserve">y Complejidad en la Puna Sur Argentina.  En: </w:t>
      </w:r>
      <w:r>
        <w:rPr>
          <w:rFonts w:ascii="Century Gothic" w:hAnsi="Century Gothic"/>
          <w:i/>
          <w:sz w:val="20"/>
          <w:szCs w:val="20"/>
        </w:rPr>
        <w:t>Producción y Circulación Prehispánica de Bienes en el sur Andino</w:t>
      </w:r>
      <w:r>
        <w:rPr>
          <w:rFonts w:ascii="Century Gothic" w:hAnsi="Century Gothic"/>
          <w:sz w:val="20"/>
          <w:szCs w:val="20"/>
        </w:rPr>
        <w:t xml:space="preserve"> (ed. por  A. E. Nielsen et al.). </w:t>
      </w:r>
      <w:r>
        <w:rPr>
          <w:rFonts w:ascii="Century Gothic" w:hAnsi="Century Gothic"/>
          <w:sz w:val="20"/>
          <w:szCs w:val="20"/>
          <w:lang w:val="en-GB"/>
        </w:rPr>
        <w:t>Editorial Brujas, Córdoba, pp. 135-166.</w:t>
      </w:r>
    </w:p>
    <w:p>
      <w:pPr>
        <w:pStyle w:val="style0"/>
        <w:jc w:val="both"/>
      </w:pPr>
      <w:r>
        <w:rPr>
          <w:rFonts w:ascii="Century Gothic" w:hAnsi="Century Gothic"/>
          <w:sz w:val="20"/>
          <w:szCs w:val="20"/>
          <w:lang w:val="en-GB"/>
        </w:rPr>
        <w:t xml:space="preserve">  </w:t>
      </w:r>
    </w:p>
    <w:p>
      <w:pPr>
        <w:pStyle w:val="style0"/>
        <w:jc w:val="both"/>
      </w:pPr>
      <w:r>
        <w:rPr>
          <w:rFonts w:ascii="Century Gothic" w:hAnsi="Century Gothic"/>
          <w:sz w:val="20"/>
          <w:szCs w:val="20"/>
        </w:rPr>
        <w:t xml:space="preserve">Lema, V. 2009. </w:t>
      </w:r>
      <w:r>
        <w:rPr>
          <w:rFonts w:ascii="Century Gothic" w:hAnsi="Century Gothic"/>
          <w:i/>
          <w:sz w:val="20"/>
          <w:szCs w:val="20"/>
        </w:rPr>
        <w:t>Domesticación vegetal y grados de dependencia ser humano-planta en el desarrollo cultural prehispánico del Noroeste Agentino</w:t>
      </w:r>
      <w:r>
        <w:rPr>
          <w:rFonts w:ascii="Century Gothic" w:hAnsi="Century Gothic"/>
          <w:sz w:val="20"/>
          <w:szCs w:val="20"/>
        </w:rPr>
        <w:t>. Tesis Doctoral, pp. 1-38. Universidad Nacional La Plata, La Plata.</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Nielsen, A.E. 2006. Pobres Jefes: Aspectos Corporativos en las Formaciones Sociales Pre-Inkaicas en los Andes Circumpuneños. En: </w:t>
      </w:r>
      <w:r>
        <w:rPr>
          <w:rFonts w:ascii="Century Gothic" w:hAnsi="Century Gothic"/>
          <w:i/>
          <w:sz w:val="20"/>
          <w:szCs w:val="20"/>
        </w:rPr>
        <w:t>Contra la Tiranía Tipológica en Arqueología: Una Visión desde Sudamérica</w:t>
      </w:r>
      <w:r>
        <w:rPr>
          <w:rFonts w:ascii="Century Gothic" w:hAnsi="Century Gothic"/>
          <w:sz w:val="20"/>
          <w:szCs w:val="20"/>
        </w:rPr>
        <w:t>, editado por G. Gnecco y C. Langebaek, pp. 121-150. Ediciones Uniandes, Bogotá.</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Kristiansen, K. 1998 </w:t>
      </w:r>
      <w:r>
        <w:rPr>
          <w:rFonts w:ascii="Century Gothic" w:hAnsi="Century Gothic"/>
          <w:i/>
          <w:sz w:val="20"/>
          <w:szCs w:val="20"/>
        </w:rPr>
        <w:t>Europa antes de la Historia</w:t>
      </w:r>
      <w:r>
        <w:rPr>
          <w:rFonts w:ascii="Century Gothic" w:hAnsi="Century Gothic"/>
          <w:sz w:val="20"/>
          <w:szCs w:val="20"/>
        </w:rPr>
        <w:t>. Península, Madrid, Capítulo 3: 61-100.</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Renfrew, C. 2001. </w:t>
      </w:r>
      <w:r>
        <w:rPr>
          <w:rFonts w:ascii="Century Gothic" w:hAnsi="Century Gothic"/>
          <w:sz w:val="20"/>
          <w:szCs w:val="20"/>
          <w:lang w:val="en-US"/>
        </w:rPr>
        <w:t>Symbol before Concept: Material Engagement and the Early Development of Society. En:</w:t>
      </w:r>
      <w:r>
        <w:rPr>
          <w:rFonts w:ascii="Century Gothic" w:hAnsi="Century Gothic"/>
          <w:i/>
          <w:sz w:val="20"/>
          <w:szCs w:val="20"/>
          <w:lang w:val="en-US"/>
        </w:rPr>
        <w:t xml:space="preserve"> Archaeological Theory Today</w:t>
      </w:r>
      <w:r>
        <w:rPr>
          <w:rFonts w:ascii="Century Gothic" w:hAnsi="Century Gothic"/>
          <w:sz w:val="20"/>
          <w:szCs w:val="20"/>
          <w:lang w:val="en-US"/>
        </w:rPr>
        <w:t>, editado por I. Hodder. Polity Press, Cambridge, pp. 122-140.</w:t>
      </w:r>
    </w:p>
    <w:p>
      <w:pPr>
        <w:pStyle w:val="style0"/>
        <w:jc w:val="both"/>
      </w:pPr>
      <w:r>
        <w:rPr>
          <w:rFonts w:ascii="Century Gothic" w:hAnsi="Century Gothic"/>
          <w:sz w:val="20"/>
          <w:szCs w:val="20"/>
          <w:lang w:val="en-US"/>
        </w:rPr>
      </w:r>
    </w:p>
    <w:p>
      <w:pPr>
        <w:pStyle w:val="style0"/>
        <w:ind w:hanging="0" w:left="0" w:right="51"/>
      </w:pPr>
      <w:r>
        <w:rPr>
          <w:rFonts w:ascii="Century Gothic" w:hAnsi="Century Gothic"/>
          <w:sz w:val="20"/>
          <w:szCs w:val="20"/>
        </w:rPr>
        <w:t>Yacobaccio, H.D. y M. A. Korstanje 2007</w:t>
      </w:r>
    </w:p>
    <w:p>
      <w:pPr>
        <w:pStyle w:val="style0"/>
        <w:ind w:hanging="0" w:left="0" w:right="51"/>
      </w:pPr>
      <w:r>
        <w:rPr>
          <w:rFonts w:ascii="Century Gothic" w:hAnsi="Century Gothic"/>
          <w:sz w:val="20"/>
          <w:szCs w:val="20"/>
        </w:rPr>
        <w:t xml:space="preserve">Los Procesos de Domesticación Vegetal y Animal. Un Aporte a la Discusión Argentina de los Últimos 70 Años. </w:t>
      </w:r>
      <w:r>
        <w:rPr>
          <w:rFonts w:ascii="Century Gothic" w:hAnsi="Century Gothic"/>
          <w:i/>
          <w:sz w:val="20"/>
          <w:szCs w:val="20"/>
        </w:rPr>
        <w:t xml:space="preserve">Relaciones de la Sociedad Argentina de Antropología </w:t>
      </w:r>
      <w:r>
        <w:rPr>
          <w:rFonts w:ascii="Century Gothic" w:hAnsi="Century Gothic"/>
          <w:sz w:val="20"/>
          <w:szCs w:val="20"/>
        </w:rPr>
        <w:t xml:space="preserve">XXXII: 191-215. </w:t>
      </w:r>
    </w:p>
    <w:p>
      <w:pPr>
        <w:pStyle w:val="style0"/>
        <w:jc w:val="both"/>
      </w:pPr>
      <w:r>
        <w:rPr>
          <w:rFonts w:ascii="Century Gothic" w:hAnsi="Century Gothic"/>
          <w:sz w:val="20"/>
          <w:szCs w:val="20"/>
        </w:rPr>
      </w:r>
    </w:p>
    <w:p>
      <w:pPr>
        <w:pStyle w:val="style0"/>
        <w:jc w:val="both"/>
      </w:pPr>
      <w:r>
        <w:rPr>
          <w:rFonts w:ascii="Century Gothic" w:hAnsi="Century Gothic"/>
          <w:b/>
          <w:i/>
          <w:sz w:val="20"/>
          <w:szCs w:val="20"/>
        </w:rPr>
        <w:t>4.3. Teorías de Momentos históricos americanos</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Johnson, M. 1993. </w:t>
      </w:r>
      <w:r>
        <w:rPr>
          <w:rFonts w:ascii="Century Gothic" w:hAnsi="Century Gothic"/>
          <w:sz w:val="20"/>
          <w:szCs w:val="20"/>
          <w:lang w:val="en-US"/>
        </w:rPr>
        <w:t xml:space="preserve">Notes Towards an Archaeology of Capitalism. </w:t>
      </w:r>
      <w:r>
        <w:rPr>
          <w:rFonts w:ascii="Century Gothic" w:hAnsi="Century Gothic"/>
          <w:i/>
          <w:iCs/>
          <w:sz w:val="20"/>
          <w:szCs w:val="20"/>
          <w:lang w:val="en-US"/>
        </w:rPr>
        <w:t>Interpretative Archaeology</w:t>
      </w:r>
      <w:r>
        <w:rPr>
          <w:rFonts w:ascii="Century Gothic" w:hAnsi="Century Gothic"/>
          <w:sz w:val="20"/>
          <w:szCs w:val="20"/>
          <w:lang w:val="en-US"/>
        </w:rPr>
        <w:t>. C. Tilley Ed., Berg, Providence/Oxford; pp: 327-356.</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rPr>
        <w:t xml:space="preserve">Goñi, R.A. y P. E. Madrid. 1998. Arqueología sin hornear: sitios arqueológicos históricos y el Fuerte Blanca Grande. </w:t>
      </w:r>
      <w:r>
        <w:rPr>
          <w:rFonts w:ascii="Century Gothic" w:hAnsi="Century Gothic"/>
          <w:i/>
          <w:iCs/>
          <w:sz w:val="20"/>
          <w:szCs w:val="20"/>
        </w:rPr>
        <w:t>Interseccione</w:t>
      </w:r>
      <w:r>
        <w:rPr>
          <w:rFonts w:ascii="Century Gothic" w:hAnsi="Century Gothic"/>
          <w:sz w:val="20"/>
          <w:szCs w:val="20"/>
        </w:rPr>
        <w:t>s Año II: 2: 69-83. FACSO - UNCPBA.</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Goñi, R.A. 2000. Arqueología de Momentos Históricos fuera de los Centros de Conquista y Colonización: un análisis de caso en el sur de la Patagonia</w:t>
      </w:r>
      <w:r>
        <w:rPr>
          <w:rFonts w:ascii="Century Gothic" w:hAnsi="Century Gothic"/>
          <w:i/>
          <w:sz w:val="20"/>
          <w:szCs w:val="20"/>
        </w:rPr>
        <w:t>. Desde el País de los Gigantes. Perspectivas Arqueológicas en Patagonia</w:t>
      </w:r>
      <w:r>
        <w:rPr>
          <w:rFonts w:ascii="Century Gothic" w:hAnsi="Century Gothic"/>
          <w:sz w:val="20"/>
          <w:szCs w:val="20"/>
        </w:rPr>
        <w:t xml:space="preserve">, Tomo I: 283-296. </w:t>
      </w:r>
      <w:r>
        <w:rPr>
          <w:rFonts w:ascii="Century Gothic" w:hAnsi="Century Gothic"/>
          <w:sz w:val="20"/>
          <w:szCs w:val="20"/>
          <w:lang w:val="en-US"/>
        </w:rPr>
        <w:t>UNPA, Río Gallegos.</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lang w:val="en-US"/>
        </w:rPr>
        <w:t xml:space="preserve">Little, B.J. 1994. People with History: An Update on Historical Archaeology in the United States. </w:t>
      </w:r>
      <w:r>
        <w:rPr>
          <w:rFonts w:ascii="Century Gothic" w:hAnsi="Century Gothic"/>
          <w:i/>
          <w:sz w:val="20"/>
          <w:szCs w:val="20"/>
          <w:lang w:val="en-US"/>
        </w:rPr>
        <w:t>Journal of Archaeological Method and Theory</w:t>
      </w:r>
      <w:r>
        <w:rPr>
          <w:rFonts w:ascii="Century Gothic" w:hAnsi="Century Gothic"/>
          <w:sz w:val="20"/>
          <w:szCs w:val="20"/>
          <w:lang w:val="en-US"/>
        </w:rPr>
        <w:t>, vol. 1, nº1: 5-40.</w:t>
      </w:r>
    </w:p>
    <w:p>
      <w:pPr>
        <w:pStyle w:val="style26"/>
        <w:spacing w:line="100" w:lineRule="atLeast"/>
      </w:pPr>
      <w:r>
        <w:rPr>
          <w:rFonts w:ascii="Century Gothic" w:hAnsi="Century Gothic"/>
          <w:sz w:val="20"/>
          <w:szCs w:val="20"/>
          <w:lang w:val="en-GB"/>
        </w:rPr>
      </w:r>
    </w:p>
    <w:p>
      <w:pPr>
        <w:pStyle w:val="style0"/>
        <w:jc w:val="both"/>
      </w:pPr>
      <w:r>
        <w:rPr>
          <w:rFonts w:ascii="Century Gothic" w:hAnsi="Century Gothic"/>
          <w:sz w:val="20"/>
          <w:szCs w:val="20"/>
          <w:lang w:val="en-US"/>
        </w:rPr>
        <w:t xml:space="preserve">Orser, Ch.E. 1996. </w:t>
      </w:r>
      <w:r>
        <w:rPr>
          <w:rFonts w:ascii="Century Gothic" w:hAnsi="Century Gothic"/>
          <w:i/>
          <w:sz w:val="20"/>
          <w:szCs w:val="20"/>
          <w:lang w:val="en-US"/>
        </w:rPr>
        <w:t>A Historical Archaeology of the Modern World</w:t>
      </w:r>
      <w:r>
        <w:rPr>
          <w:rFonts w:ascii="Century Gothic" w:hAnsi="Century Gothic"/>
          <w:sz w:val="20"/>
          <w:szCs w:val="20"/>
          <w:lang w:val="en-US"/>
        </w:rPr>
        <w:t>, caps. 1 y 3. Contributions to Global Historical Archaeology, Plenum Press.</w:t>
      </w:r>
    </w:p>
    <w:p>
      <w:pPr>
        <w:pStyle w:val="style0"/>
        <w:jc w:val="both"/>
      </w:pPr>
      <w:r>
        <w:rPr>
          <w:rFonts w:ascii="Century Gothic" w:hAnsi="Century Gothic"/>
          <w:sz w:val="20"/>
          <w:szCs w:val="20"/>
          <w:lang w:val="en-US"/>
        </w:rPr>
      </w:r>
    </w:p>
    <w:p>
      <w:pPr>
        <w:pStyle w:val="style0"/>
        <w:jc w:val="both"/>
      </w:pPr>
      <w:r>
        <w:rPr>
          <w:rFonts w:ascii="Century Gothic" w:hAnsi="Century Gothic"/>
          <w:sz w:val="20"/>
          <w:szCs w:val="20"/>
          <w:lang w:val="en-US"/>
        </w:rPr>
        <w:t xml:space="preserve">Ramenofsky, A. F. 1998. </w:t>
      </w:r>
      <w:r>
        <w:rPr>
          <w:rFonts w:ascii="Century Gothic" w:hAnsi="Century Gothic"/>
          <w:sz w:val="20"/>
          <w:szCs w:val="20"/>
        </w:rPr>
        <w:t xml:space="preserve">La Teoría Evolutiva y el registro del reemplazo de artefactos de las poblaciones nativas de América del Norte. </w:t>
      </w:r>
      <w:r>
        <w:rPr>
          <w:rFonts w:ascii="Century Gothic" w:hAnsi="Century Gothic"/>
          <w:sz w:val="20"/>
          <w:szCs w:val="20"/>
          <w:lang w:val="en-US"/>
        </w:rPr>
        <w:t xml:space="preserve">En: Studies in Culture Change and Archaeology, J.G. Cusick (Ed.), Occasional Papers nº 25. </w:t>
      </w:r>
      <w:r>
        <w:rPr>
          <w:rFonts w:ascii="Century Gothic" w:hAnsi="Century Gothic"/>
          <w:sz w:val="20"/>
          <w:szCs w:val="20"/>
        </w:rPr>
        <w:t>Ficha de Cátedra – Modelos y Métodos de Análisis en Economía Prehistórica. UBA, FFyL, año 2000.</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Senatore, M.X. 2007. </w:t>
      </w:r>
      <w:r>
        <w:rPr>
          <w:rFonts w:ascii="Century Gothic" w:hAnsi="Century Gothic"/>
          <w:sz w:val="20"/>
          <w:szCs w:val="20"/>
          <w:lang w:val="es-ES"/>
        </w:rPr>
        <w:t xml:space="preserve">Arqueología e Historia en la Colonia Española de Floridablanca, Patagonia-siglo XVIII. </w:t>
      </w:r>
      <w:r>
        <w:rPr>
          <w:rFonts w:ascii="Century Gothic" w:hAnsi="Century Gothic"/>
          <w:sz w:val="20"/>
          <w:szCs w:val="20"/>
        </w:rPr>
        <w:t xml:space="preserve">Cap. 2. </w:t>
      </w:r>
      <w:r>
        <w:rPr>
          <w:rFonts w:ascii="Century Gothic" w:hAnsi="Century Gothic"/>
          <w:sz w:val="20"/>
          <w:szCs w:val="20"/>
          <w:lang w:val="es-ES"/>
        </w:rPr>
        <w:t>Ed. Teseo, Buenos Aires.</w:t>
      </w:r>
    </w:p>
    <w:p>
      <w:pPr>
        <w:pStyle w:val="style0"/>
        <w:jc w:val="both"/>
      </w:pPr>
      <w:r>
        <w:rPr>
          <w:rFonts w:ascii="Century Gothic" w:hAnsi="Century Gothic"/>
          <w:sz w:val="20"/>
          <w:szCs w:val="20"/>
        </w:rPr>
      </w:r>
    </w:p>
    <w:p>
      <w:pPr>
        <w:pStyle w:val="style0"/>
        <w:jc w:val="both"/>
      </w:pPr>
      <w:r>
        <w:rPr>
          <w:rFonts w:ascii="Century Gothic" w:hAnsi="Century Gothic"/>
          <w:sz w:val="20"/>
          <w:szCs w:val="20"/>
        </w:rPr>
        <w:t xml:space="preserve">Senatore, M.X.; M. Bianchi Villelli; S. Buscaglia; M. Marschoff; V. Nuviala; C. Bosoni y L. Starópoli. 2008. Una arqueología de las practicas cotidianas en la colonia española de Floridablanca (Patagonia, siglo XVIII). </w:t>
      </w:r>
      <w:r>
        <w:rPr>
          <w:rFonts w:ascii="Century Gothic" w:hAnsi="Century Gothic"/>
          <w:i/>
          <w:sz w:val="20"/>
          <w:szCs w:val="20"/>
        </w:rPr>
        <w:t>Arqueología del Extremo Sur del Continente Americano</w:t>
      </w:r>
      <w:r>
        <w:rPr>
          <w:rFonts w:ascii="Century Gothic" w:hAnsi="Century Gothic"/>
          <w:sz w:val="20"/>
          <w:szCs w:val="20"/>
        </w:rPr>
        <w:t>, compilado por L.A. Borrero y N. Franco, pp. 80-117. CONICET-IMHICIHU.</w:t>
      </w:r>
    </w:p>
    <w:p>
      <w:pPr>
        <w:pStyle w:val="style0"/>
        <w:jc w:val="both"/>
      </w:pPr>
      <w:r>
        <w:rPr>
          <w:rFonts w:ascii="Century Gothic" w:hAnsi="Century Gothic"/>
          <w:sz w:val="20"/>
          <w:szCs w:val="20"/>
          <w:lang w:val="es-AR"/>
        </w:rPr>
      </w:r>
    </w:p>
    <w:p>
      <w:pPr>
        <w:pStyle w:val="style0"/>
        <w:jc w:val="both"/>
      </w:pPr>
      <w:r>
        <w:rPr>
          <w:rFonts w:ascii="Century Gothic" w:hAnsi="Century Gothic"/>
          <w:b/>
          <w:bCs/>
          <w:sz w:val="20"/>
          <w:szCs w:val="20"/>
        </w:rPr>
        <w:t>5. PROGRAMA DE TRABAJOS PRACTICOS</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b/>
          <w:sz w:val="20"/>
          <w:szCs w:val="20"/>
        </w:rPr>
        <w:t>5.1. Hipótesis</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Klimovsky, G. 1995. Las Desventuras del Conocimiento Científico. Una Introducción a la Epistemología, cap. 8. A-Z Editora, Buenos Aires.</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 xml:space="preserve">5.2. Escuelas histórico-culturales en arqueología: </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Willey,G. y P. Phillips 1958. Method and Theory in American Archaeology. Chicago, University of Chicago Press. Introducción y Cap. I.</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González, A. Rex. 1956. La cultura Condorhuasi del Noroeste argentino. Runa VII: 37-85.</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Menghin, O. 1957. Estilos del Arte Rupestre de Patagonia. Acta Praehistórica. T. I. pp. 57-87.</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b/>
          <w:sz w:val="20"/>
          <w:szCs w:val="20"/>
        </w:rPr>
        <w:t>5.3. Enfoques Procesuales</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b/>
          <w:sz w:val="20"/>
          <w:szCs w:val="20"/>
        </w:rPr>
        <w:t xml:space="preserve">5.3.1. Nueva Arqueología: </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Binford,L. 2007 (1972). Arqueología como Antropología. En: Clásicos de Teoría Arqueológica Contemporánea, pp. 15-27. Sociedad Argentina de Antropología, Buenos Aires.</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Watson, P. J., Leblanc, S. A. y Redman C. L.  1974. El método científico en Arqueología. Madrid, Alianza. Cap. 1 y 2.</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b/>
          <w:sz w:val="20"/>
          <w:szCs w:val="20"/>
        </w:rPr>
        <w:t>5.3.2. Arqueología Evolutiva</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 xml:space="preserve">Dunnell, R.  1989. Aspects of the Application of Evolutionary Theory in Archaeology. En Archaeological Thought in America, editado por C. Lamberg-Karlovsky , Cambridge, Cambridge University Press. Pp. 35-49. (Versión traducida por L.A. Orquera). </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Ramenofsky, A. F. 1998. La Teoría Evolutiva y el registro del reemplazo de artefactos de las poblaciones nativas de América del Norte. En: Studies in Culture Change and Archaeology, J.G. Cusick (Ed.), Occasional Papers nº 25. Ficha de Cátedra – Modelos y Métodos de Análisis en Economía Prehistórica. UBA, FFyL, año 2000.</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5.3.3. Ecología del Comportamiento Humano</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Bird, D, W. y F. J. O`Connell  2006. Behavioral Ecology and Archaeology. Journal of Archaeological Research 14 (2): 143-188.</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Boone, J.L. y E.A. Smith. 2007 (1998). ¿Todavía es evolución?. Una crítica de la arqueología evolutiva. En: Clásicos de Teoría Arqueológica Contemporánea, Sociedad Argentina de Antropología, Buenos Aires.</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Zangrando, F. 2009. Zooarqueología y procesos de cambio en poblaciones humanas: consideraciones teóricas y metodológicas. En: Historia evolutiva y subsistencia de cazadores recolectores marítimos en Tierra del Fuego. Pp. 25-42. Sociedad Argentina de Antropología, Buenos Aires.</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Zeanah, D.W. 2004. Sexual division of labor and central place foraging: a model for the Carson Desert of western Nevada. Journal of Anthropological Archaeology 23 (2004) 1–32</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5.3.4. Arqueología Procesual</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 xml:space="preserve">De Nigris, M. 2008. Modelos de transporte etnoarqueológicos: sobre su aplicabilidad y pertinencia para el interior de Patagonia. En: Temas de Arqueología. Estudios Tafonómicos y Zooarqueológicos (I). Compilado por Acosta, A., D. Loponte y L. Mucciolo. </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Gallardo, F.  y H. D. Yacobaccio 2007. ¿Silvestres o domesticados? Camélidos en el arte rupestre del formativo temprano en el desierto de Atacama (norte de Chile). Boletín del Museo Chileno de Arte Precolombino, Vol. 12, N° 2: 9-31.</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Johnson, A., Gil, A., Neme, G. y J. Freeman 2009. Maíces e intensificación: explorando el uso de los marcos de referencia. Arqueología y Evolución. Teoría, Metodología y Casos de estudio. Editado por G. López y M. Cardillo, pp.: 23-44.</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Yacobaccio, H.D. 2007. Andean camelid herding in the South Andes: ethnoarchaeological models for archaeozoological research. ANTHROPOZOOLOGICA • 2007 • 42 (2): 143-154.</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b/>
          <w:sz w:val="20"/>
          <w:szCs w:val="20"/>
        </w:rPr>
        <w:t xml:space="preserve">5.4. Arqueologías  Post-Procesuales </w:t>
      </w:r>
    </w:p>
    <w:p>
      <w:pPr>
        <w:pStyle w:val="style0"/>
        <w:tabs>
          <w:tab w:leader="none" w:pos="860" w:val="left"/>
        </w:tabs>
        <w:jc w:val="both"/>
      </w:pPr>
      <w:r>
        <w:rPr>
          <w:rFonts w:ascii="Century Gothic" w:cs="Book Antiqua" w:hAnsi="Century Gothic"/>
          <w:b/>
          <w:sz w:val="20"/>
          <w:szCs w:val="20"/>
        </w:rPr>
      </w:r>
    </w:p>
    <w:p>
      <w:pPr>
        <w:pStyle w:val="style0"/>
        <w:tabs>
          <w:tab w:leader="none" w:pos="860" w:val="left"/>
        </w:tabs>
        <w:jc w:val="both"/>
      </w:pPr>
      <w:r>
        <w:rPr>
          <w:rFonts w:ascii="Century Gothic" w:cs="Book Antiqua" w:hAnsi="Century Gothic"/>
          <w:b/>
          <w:sz w:val="20"/>
          <w:szCs w:val="20"/>
        </w:rPr>
        <w:t>5.4.1. Enfoque Hermenéutico</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Acuto, F. 2007. Fragmentación vs. Integración comunal: Repensando el Período Tardío del Noroeste Argentino. Estudios Atacameños: Arqueología y Antropología Surandinas 34: 71-95.</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Hodder, I. 1988. Interpretación en Arqueología. Editorial Crítica. Cap 1, 7 y 8.</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 xml:space="preserve">Shanks, M. 2007. Post Procesual archaeology and after. Handbook of Archaeological Method and Theory. Editado por Chippindale and H. Maschner (eds), Walnut Creek, Altamira. </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b/>
          <w:sz w:val="20"/>
          <w:szCs w:val="20"/>
        </w:rPr>
        <w:t>5.4.2. Teoría Social</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Dornan, J. 2005. Agency and Archaeology: Past, Present and Future Directions. Journal of Archaeological Method and Theory 9 (4): 303-329.</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Nielsen, A. 2006. Estudios internodales e interacción interregional en los Andes Circunpuneños: Teoría, método y ejemplos de aplicación. En: Esferas de interacción prehistóricas y fronteras nacionales modernas: los Andes sur-centrales. Pp. 29-62. Editorial Instituto de Estudios Peruanos e Institute of Andean Research, Lima.</w:t>
      </w:r>
    </w:p>
    <w:p>
      <w:pPr>
        <w:pStyle w:val="style0"/>
        <w:tabs>
          <w:tab w:leader="none" w:pos="860" w:val="left"/>
        </w:tabs>
        <w:jc w:val="both"/>
      </w:pPr>
      <w:r>
        <w:rPr>
          <w:rFonts w:ascii="Century Gothic" w:cs="Book Antiqua" w:hAnsi="Century Gothic"/>
          <w:sz w:val="20"/>
          <w:szCs w:val="20"/>
        </w:rPr>
      </w:r>
    </w:p>
    <w:p>
      <w:pPr>
        <w:pStyle w:val="style0"/>
        <w:tabs>
          <w:tab w:leader="none" w:pos="860" w:val="left"/>
        </w:tabs>
        <w:jc w:val="both"/>
      </w:pPr>
      <w:r>
        <w:rPr>
          <w:rFonts w:ascii="Century Gothic" w:cs="Book Antiqua" w:hAnsi="Century Gothic"/>
          <w:sz w:val="20"/>
          <w:szCs w:val="20"/>
        </w:rPr>
        <w:t xml:space="preserve">Hernando, A. 2004. Arquelogía de la Identidad. Una alternativa estructuralista para la arqueología cognitiva. En: Teoría Arqueológica en América del Sur, Tomo III: 33-56. </w:t>
      </w:r>
    </w:p>
    <w:p>
      <w:pPr>
        <w:pStyle w:val="style0"/>
        <w:tabs>
          <w:tab w:leader="none" w:pos="860" w:val="left"/>
        </w:tabs>
        <w:jc w:val="both"/>
      </w:pPr>
      <w:r>
        <w:rPr>
          <w:rFonts w:ascii="Century Gothic" w:cs="Book Antiqua" w:hAnsi="Century Gothic"/>
          <w:sz w:val="20"/>
          <w:szCs w:val="20"/>
        </w:rPr>
      </w:r>
    </w:p>
    <w:p>
      <w:pPr>
        <w:pStyle w:val="style0"/>
        <w:jc w:val="both"/>
      </w:pPr>
      <w:r>
        <w:rPr>
          <w:rFonts w:ascii="Century Gothic" w:cs="Book Antiqua" w:hAnsi="Century Gothic"/>
          <w:b/>
          <w:bCs/>
          <w:sz w:val="20"/>
          <w:szCs w:val="20"/>
        </w:rPr>
        <w:t>E) CRITERIOS DE ORGANIZACION</w:t>
      </w:r>
    </w:p>
    <w:p>
      <w:pPr>
        <w:pStyle w:val="style0"/>
        <w:ind w:firstLine="708" w:left="0" w:right="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t>Los trabajos prácticos serán organizados con grupos coordinados por el JTP y los auxiliares docentes, junto a los adscriptos, lo que permite trabajar más directamente con los alumnos. La bibliografía propuesta puede ser modificada en algunos casos según necesidades que surjan durante el curso.</w:t>
      </w:r>
    </w:p>
    <w:p>
      <w:pPr>
        <w:pStyle w:val="style0"/>
        <w:ind w:firstLine="708" w:left="0" w:right="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t>Para mantener la regularidad se requiere un mínimo del 75% de asistencia a teóricos y prácticos, y la entrega en tiempo y forma de los trabajos prácticos.</w:t>
      </w:r>
    </w:p>
    <w:p>
      <w:pPr>
        <w:pStyle w:val="style0"/>
        <w:ind w:firstLine="708" w:left="0" w:right="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r>
    </w:p>
    <w:p>
      <w:pPr>
        <w:pStyle w:val="style0"/>
        <w:jc w:val="both"/>
      </w:pPr>
      <w:r>
        <w:rPr>
          <w:rFonts w:ascii="Century Gothic" w:cs="Book Antiqua" w:hAnsi="Century Gothic"/>
          <w:b/>
          <w:bCs/>
          <w:sz w:val="20"/>
          <w:szCs w:val="20"/>
        </w:rPr>
        <w:t xml:space="preserve"> </w:t>
      </w:r>
      <w:r>
        <w:rPr>
          <w:rFonts w:ascii="Century Gothic" w:cs="Book Antiqua" w:hAnsi="Century Gothic"/>
          <w:b/>
          <w:bCs/>
          <w:sz w:val="20"/>
          <w:szCs w:val="20"/>
        </w:rPr>
        <w:t>F) CRITERIOS DE EVALUACION</w:t>
      </w:r>
    </w:p>
    <w:p>
      <w:pPr>
        <w:pStyle w:val="style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t>Los alumnos rendirán dos exámenes parciales y una nota de concepto relacionada con la entrega en tiempo y forma de los trabajos prácticos que se promediarán. Para mantener la regularidad se exige un promedio mínimo de 4 (cuatro) puntos (aprobado) en los exámenes parciales.</w:t>
      </w:r>
    </w:p>
    <w:p>
      <w:pPr>
        <w:pStyle w:val="style0"/>
        <w:ind w:firstLine="708" w:left="0" w:right="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r>
    </w:p>
    <w:p>
      <w:pPr>
        <w:pStyle w:val="style0"/>
        <w:ind w:firstLine="708" w:left="0" w:right="0"/>
        <w:jc w:val="both"/>
      </w:pPr>
      <w:r>
        <w:rPr>
          <w:rFonts w:ascii="Century Gothic" w:cs="Book Antiqua" w:hAnsi="Century Gothic"/>
          <w:sz w:val="20"/>
          <w:szCs w:val="20"/>
        </w:rPr>
      </w:r>
    </w:p>
    <w:p>
      <w:pPr>
        <w:pStyle w:val="style0"/>
        <w:ind w:hanging="0" w:left="708" w:right="0"/>
        <w:jc w:val="both"/>
      </w:pPr>
      <w:r>
        <w:rPr>
          <w:rFonts w:ascii="Century Gothic" w:cs="Book Antiqua" w:hAnsi="Century Gothic"/>
          <w:sz w:val="20"/>
          <w:szCs w:val="20"/>
        </w:rPr>
        <w:t>Dr. Rafael A. Goñi                                                 Dr Hugo D. Yacobaccio</w:t>
      </w:r>
    </w:p>
    <w:p>
      <w:pPr>
        <w:pStyle w:val="style0"/>
        <w:jc w:val="both"/>
      </w:pPr>
      <w:r>
        <w:rPr>
          <w:rFonts w:ascii="Century Gothic" w:cs="Book Antiqua" w:hAnsi="Century Gothic"/>
          <w:sz w:val="20"/>
          <w:szCs w:val="20"/>
        </w:rPr>
        <w:t xml:space="preserve">            </w:t>
      </w:r>
      <w:r>
        <w:rPr>
          <w:rFonts w:ascii="Century Gothic" w:cs="Book Antiqua" w:hAnsi="Century Gothic"/>
          <w:sz w:val="20"/>
          <w:szCs w:val="20"/>
        </w:rPr>
        <w:t>Profesor Adjunto Regular                                      Profesor Titular Regular</w:t>
      </w:r>
    </w:p>
    <w:p>
      <w:pPr>
        <w:pStyle w:val="style0"/>
      </w:pPr>
      <w:r>
        <w:rPr>
          <w:rFonts w:ascii="Century Gothic" w:cs="Times New Roman" w:hAnsi="Century Gothic"/>
          <w:sz w:val="20"/>
          <w:szCs w:val="20"/>
        </w:rPr>
      </w:r>
    </w:p>
    <w:p>
      <w:pPr>
        <w:pStyle w:val="style0"/>
      </w:pPr>
      <w:r>
        <w:rPr>
          <w:rFonts w:ascii="Century Gothic" w:cs="Times New Roman" w:hAnsi="Century Gothic"/>
          <w:sz w:val="20"/>
          <w:szCs w:val="20"/>
        </w:rPr>
      </w:r>
    </w:p>
    <w:p>
      <w:pPr>
        <w:pStyle w:val="style0"/>
        <w:jc w:val="both"/>
      </w:pPr>
      <w:r>
        <w:rPr/>
      </w:r>
    </w:p>
    <w:sectPr>
      <w:type w:val="nextPage"/>
      <w:pgSz w:h="15840" w:w="12240"/>
      <w:pgMar w:bottom="1417" w:footer="0" w:gutter="0" w:header="0" w:left="1701" w:right="1701"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upperLetter"/>
      <w:lvlText w:val="%1)"/>
      <w:lvlJc w:val="left"/>
      <w:pPr>
        <w:tabs>
          <w:tab w:pos="360" w:val="num"/>
        </w:tabs>
        <w:ind w:hanging="360" w:left="360"/>
      </w:pPr>
      <w:r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rPr/>
    </w:lvl>
    <w:lvl w:ilvl="1">
      <w:start w:val="1"/>
      <w:numFmt w:val="lowerLetter"/>
      <w:lvlText w:val="%2."/>
      <w:lvlJc w:val="left"/>
      <w:pPr>
        <w:tabs>
          <w:tab w:pos="1440" w:val="num"/>
        </w:tabs>
        <w:ind w:hanging="360" w:left="1440"/>
      </w:pPr>
      <w:rPr/>
    </w:lvl>
    <w:lvl w:ilvl="2">
      <w:start w:val="1"/>
      <w:numFmt w:val="lowerRoman"/>
      <w:lvlText w:val="%2.%3."/>
      <w:lvlJc w:val="right"/>
      <w:pPr>
        <w:tabs>
          <w:tab w:pos="2160" w:val="num"/>
        </w:tabs>
        <w:ind w:hanging="180" w:left="2160"/>
      </w:pPr>
      <w:rPr/>
    </w:lvl>
    <w:lvl w:ilvl="3">
      <w:start w:val="1"/>
      <w:numFmt w:val="decimal"/>
      <w:lvlText w:val="%2.%3.%4."/>
      <w:lvlJc w:val="left"/>
      <w:pPr>
        <w:tabs>
          <w:tab w:pos="2880" w:val="num"/>
        </w:tabs>
        <w:ind w:hanging="360" w:left="2880"/>
      </w:pPr>
      <w:rPr/>
    </w:lvl>
    <w:lvl w:ilvl="4">
      <w:start w:val="1"/>
      <w:numFmt w:val="lowerLetter"/>
      <w:lvlText w:val="%2.%3.%4.%5."/>
      <w:lvlJc w:val="left"/>
      <w:pPr>
        <w:tabs>
          <w:tab w:pos="3600" w:val="num"/>
        </w:tabs>
        <w:ind w:hanging="360" w:left="3600"/>
      </w:pPr>
      <w:rPr/>
    </w:lvl>
    <w:lvl w:ilvl="5">
      <w:start w:val="1"/>
      <w:numFmt w:val="lowerRoman"/>
      <w:lvlText w:val="%2.%3.%4.%5.%6."/>
      <w:lvlJc w:val="right"/>
      <w:pPr>
        <w:tabs>
          <w:tab w:pos="4320" w:val="num"/>
        </w:tabs>
        <w:ind w:hanging="180" w:left="4320"/>
      </w:pPr>
      <w:rPr/>
    </w:lvl>
    <w:lvl w:ilvl="6">
      <w:start w:val="1"/>
      <w:numFmt w:val="decimal"/>
      <w:lvlText w:val="%2.%3.%4.%5.%6.%7."/>
      <w:lvlJc w:val="left"/>
      <w:pPr>
        <w:tabs>
          <w:tab w:pos="5040" w:val="num"/>
        </w:tabs>
        <w:ind w:hanging="360" w:left="5040"/>
      </w:pPr>
      <w:rPr/>
    </w:lvl>
    <w:lvl w:ilvl="7">
      <w:start w:val="1"/>
      <w:numFmt w:val="lowerLetter"/>
      <w:lvlText w:val="%2.%3.%4.%5.%6.%7.%8."/>
      <w:lvlJc w:val="left"/>
      <w:pPr>
        <w:tabs>
          <w:tab w:pos="5760" w:val="num"/>
        </w:tabs>
        <w:ind w:hanging="360" w:left="5760"/>
      </w:pPr>
      <w:rPr/>
    </w:lvl>
    <w:lvl w:ilvl="8">
      <w:start w:val="1"/>
      <w:numFmt w:val="lowerRoman"/>
      <w:lvlText w:val="%2.%3.%4.%5.%6.%7.%8.%9."/>
      <w:lvlJc w:val="right"/>
      <w:pPr>
        <w:tabs>
          <w:tab w:pos="6480" w:val="num"/>
        </w:tabs>
        <w:ind w:hanging="180" w:left="6480"/>
      </w:pPr>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Arial" w:cs="Arial" w:eastAsia="Times New Roman" w:hAnsi="Arial"/>
      <w:color w:val="auto"/>
      <w:sz w:val="24"/>
      <w:szCs w:val="24"/>
      <w:lang w:bidi="ar-SA" w:eastAsia="es-ES" w:val="es-ES"/>
    </w:rPr>
  </w:style>
  <w:style w:styleId="style1" w:type="paragraph">
    <w:name w:val="Encabezado 1"/>
    <w:basedOn w:val="style0"/>
    <w:next w:val="style22"/>
    <w:pPr>
      <w:keepNext/>
      <w:jc w:val="center"/>
    </w:pPr>
    <w:rPr>
      <w:rFonts w:ascii="Ashley Inline" w:cs="Times New Roman" w:hAnsi="Ashley Inline"/>
      <w:sz w:val="28"/>
      <w:szCs w:val="20"/>
      <w:lang w:eastAsia="es-AR" w:val="es-AR"/>
    </w:rPr>
  </w:style>
  <w:style w:styleId="style3" w:type="paragraph">
    <w:name w:val="Encabezado 3"/>
    <w:basedOn w:val="style0"/>
    <w:next w:val="style22"/>
    <w:pPr>
      <w:keepNext/>
      <w:numPr>
        <w:ilvl w:val="0"/>
        <w:numId w:val="1"/>
      </w:numPr>
      <w:tabs>
        <w:tab w:leader="none" w:pos="0" w:val="left"/>
      </w:tabs>
      <w:jc w:val="both"/>
      <w:outlineLvl w:val="0"/>
    </w:pPr>
    <w:rPr>
      <w:rFonts w:ascii="Times New Roman" w:cs="Times New Roman" w:hAnsi="Times New Roman"/>
      <w:b/>
      <w:bCs/>
      <w:lang w:eastAsia="es-AR" w:val="es-AR"/>
    </w:rPr>
  </w:style>
  <w:style w:styleId="style15" w:type="character">
    <w:name w:val="Default Paragraph Font"/>
    <w:next w:val="style15"/>
    <w:rPr/>
  </w:style>
  <w:style w:styleId="style16" w:type="character">
    <w:name w:val="Título 1 Car"/>
    <w:basedOn w:val="style15"/>
    <w:next w:val="style16"/>
    <w:rPr>
      <w:rFonts w:ascii="Ashley Inline" w:cs="Times New Roman" w:hAnsi="Ashley Inline"/>
      <w:sz w:val="20"/>
      <w:szCs w:val="20"/>
      <w:lang w:eastAsia="es-AR" w:val="es-AR"/>
    </w:rPr>
  </w:style>
  <w:style w:styleId="style17" w:type="character">
    <w:name w:val="Título 3 Car"/>
    <w:basedOn w:val="style15"/>
    <w:next w:val="style17"/>
    <w:rPr>
      <w:rFonts w:ascii="Times New Roman" w:cs="Times New Roman" w:hAnsi="Times New Roman"/>
      <w:b/>
      <w:bCs/>
      <w:sz w:val="24"/>
      <w:szCs w:val="24"/>
      <w:lang w:eastAsia="es-AR" w:val="es-AR"/>
    </w:rPr>
  </w:style>
  <w:style w:styleId="style18" w:type="character">
    <w:name w:val="Texto independiente Car"/>
    <w:basedOn w:val="style15"/>
    <w:next w:val="style18"/>
    <w:rPr>
      <w:rFonts w:ascii="Times New Roman" w:cs="Times New Roman" w:hAnsi="Times New Roman"/>
      <w:sz w:val="20"/>
      <w:szCs w:val="20"/>
      <w:lang w:eastAsia="es-AR" w:val="es-AR"/>
    </w:rPr>
  </w:style>
  <w:style w:styleId="style19" w:type="character">
    <w:name w:val="Texto independiente 2 Car"/>
    <w:basedOn w:val="style15"/>
    <w:next w:val="style19"/>
    <w:rPr>
      <w:rFonts w:ascii="Arial" w:cs="Arial" w:hAnsi="Arial"/>
      <w:sz w:val="24"/>
      <w:szCs w:val="24"/>
      <w:lang w:eastAsia="es-ES"/>
    </w:rPr>
  </w:style>
  <w:style w:styleId="style20" w:type="character">
    <w:name w:val="ListLabel 1"/>
    <w:next w:val="style20"/>
    <w:rPr>
      <w:rFonts w:cs="Times New Roman"/>
    </w:rPr>
  </w:style>
  <w:style w:styleId="style21" w:type="paragraph">
    <w:name w:val="Encabezado"/>
    <w:basedOn w:val="style0"/>
    <w:next w:val="style22"/>
    <w:pPr>
      <w:keepNext/>
      <w:spacing w:after="120" w:before="240"/>
    </w:pPr>
    <w:rPr>
      <w:rFonts w:ascii="Arial" w:cs="FreeSans" w:eastAsia="DejaVu Sans Light" w:hAnsi="Arial"/>
      <w:sz w:val="28"/>
      <w:szCs w:val="28"/>
    </w:rPr>
  </w:style>
  <w:style w:styleId="style22" w:type="paragraph">
    <w:name w:val="Cuerpo de texto"/>
    <w:basedOn w:val="style0"/>
    <w:next w:val="style22"/>
    <w:pPr>
      <w:jc w:val="both"/>
    </w:pPr>
    <w:rPr>
      <w:rFonts w:ascii="Times New Roman" w:cs="Times New Roman" w:hAnsi="Times New Roman"/>
      <w:szCs w:val="20"/>
      <w:lang w:eastAsia="es-AR" w:val="es-AR"/>
    </w:rPr>
  </w:style>
  <w:style w:styleId="style23" w:type="paragraph">
    <w:name w:val="Lista"/>
    <w:basedOn w:val="style22"/>
    <w:next w:val="style23"/>
    <w:pPr/>
    <w:rPr>
      <w:rFonts w:cs="FreeSans"/>
    </w:rPr>
  </w:style>
  <w:style w:styleId="style24" w:type="paragraph">
    <w:name w:val="Etiqueta"/>
    <w:basedOn w:val="style0"/>
    <w:next w:val="style24"/>
    <w:pPr>
      <w:suppressLineNumbers/>
      <w:spacing w:after="120" w:before="120"/>
    </w:pPr>
    <w:rPr>
      <w:rFonts w:cs="FreeSans"/>
      <w:i/>
      <w:iCs/>
      <w:sz w:val="24"/>
      <w:szCs w:val="24"/>
    </w:rPr>
  </w:style>
  <w:style w:styleId="style25" w:type="paragraph">
    <w:name w:val="Índice"/>
    <w:basedOn w:val="style0"/>
    <w:next w:val="style25"/>
    <w:pPr>
      <w:suppressLineNumbers/>
    </w:pPr>
    <w:rPr>
      <w:rFonts w:cs="FreeSans"/>
    </w:rPr>
  </w:style>
  <w:style w:styleId="style26" w:type="paragraph">
    <w:name w:val="Body Text 2"/>
    <w:basedOn w:val="style0"/>
    <w:next w:val="style26"/>
    <w:pPr>
      <w:spacing w:after="120" w:before="0" w:line="480" w:lineRule="aut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2013-10-15T20:43:00.00Z</dcterms:created>
  <dc:creator>a</dc:creator>
  <cp:lastModifiedBy>Hugo</cp:lastModifiedBy>
  <cp:lastPrinted>2012-03-02T13:19:00.00Z</cp:lastPrinted>
  <dcterms:modified xsi:type="dcterms:W3CDTF">2013-10-15T20:43:00.00Z</dcterms:modified>
  <cp:revision>2</cp:revision>
  <dc:title>Universidad de Buenos Aires</dc:title>
</cp:coreProperties>
</file>