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7"/>
        <w:jc w:val="center"/>
      </w:pPr>
      <w:r>
        <w:rPr>
          <w:rFonts w:ascii="Arial" w:cs="Arial" w:hAnsi="Arial"/>
          <w:sz w:val="20"/>
          <w:szCs w:val="20"/>
        </w:rPr>
        <w:t>UNIVERSIDAD DE BUENOS AIRES</w:t>
      </w:r>
    </w:p>
    <w:p>
      <w:pPr>
        <w:pStyle w:val="style37"/>
        <w:jc w:val="center"/>
      </w:pPr>
      <w:r>
        <w:rPr>
          <w:rFonts w:ascii="Arial" w:cs="Arial" w:hAnsi="Arial"/>
          <w:sz w:val="20"/>
          <w:szCs w:val="20"/>
        </w:rPr>
        <w:t>FACULTAD DE FILOSOFÍA Y LETRAS</w:t>
      </w:r>
    </w:p>
    <w:p>
      <w:pPr>
        <w:pStyle w:val="style37"/>
        <w:jc w:val="center"/>
      </w:pPr>
      <w:r>
        <w:rPr>
          <w:rFonts w:ascii="Arial" w:cs="Arial" w:hAnsi="Arial"/>
          <w:sz w:val="20"/>
          <w:szCs w:val="20"/>
        </w:rPr>
        <w:t>DEPARTAMENTO DE CIENCIAS ANTROPOLÓGICAS</w:t>
      </w:r>
    </w:p>
    <w:p>
      <w:pPr>
        <w:pStyle w:val="style37"/>
        <w:jc w:val="center"/>
      </w:pPr>
      <w:r>
        <w:rPr/>
      </w:r>
    </w:p>
    <w:p>
      <w:pPr>
        <w:pStyle w:val="style37"/>
        <w:jc w:val="center"/>
      </w:pPr>
      <w:r>
        <w:rPr/>
      </w:r>
    </w:p>
    <w:p>
      <w:pPr>
        <w:pStyle w:val="style37"/>
        <w:jc w:val="center"/>
      </w:pPr>
      <w:r>
        <w:rPr/>
      </w:r>
    </w:p>
    <w:p>
      <w:pPr>
        <w:pStyle w:val="style37"/>
        <w:jc w:val="center"/>
      </w:pPr>
      <w:r>
        <w:rPr>
          <w:rFonts w:ascii="Arial" w:cs="Arial" w:hAnsi="Arial"/>
          <w:b/>
          <w:sz w:val="20"/>
          <w:szCs w:val="20"/>
        </w:rPr>
        <w:t>EL ESTUDIO DE LOS ISÓTOPOS AMBIENTALES APLICADO A LA ARQUEOLOGÍA</w:t>
      </w:r>
    </w:p>
    <w:p>
      <w:pPr>
        <w:pStyle w:val="style37"/>
      </w:pPr>
      <w:r>
        <w:rPr/>
      </w:r>
    </w:p>
    <w:p>
      <w:pPr>
        <w:pStyle w:val="style37"/>
      </w:pPr>
      <w:r>
        <w:rPr/>
      </w:r>
    </w:p>
    <w:p>
      <w:pPr>
        <w:pStyle w:val="style37"/>
      </w:pPr>
      <w:r>
        <w:rPr/>
      </w:r>
    </w:p>
    <w:p>
      <w:pPr>
        <w:pStyle w:val="style37"/>
        <w:jc w:val="center"/>
      </w:pPr>
      <w:r>
        <w:rPr>
          <w:rFonts w:ascii="Arial" w:cs="Arial" w:hAnsi="Arial"/>
          <w:sz w:val="20"/>
          <w:szCs w:val="20"/>
        </w:rPr>
        <w:t>Primer cuatrimestre de 2016</w:t>
      </w:r>
    </w:p>
    <w:p>
      <w:pPr>
        <w:pStyle w:val="style37"/>
      </w:pPr>
      <w:r>
        <w:rPr/>
      </w:r>
    </w:p>
    <w:p>
      <w:pPr>
        <w:pStyle w:val="style37"/>
      </w:pPr>
      <w:r>
        <w:rPr/>
      </w:r>
    </w:p>
    <w:p>
      <w:pPr>
        <w:pStyle w:val="style37"/>
      </w:pPr>
      <w:r>
        <w:rPr/>
      </w:r>
    </w:p>
    <w:p>
      <w:pPr>
        <w:pStyle w:val="style37"/>
      </w:pPr>
      <w:r>
        <w:rPr>
          <w:rFonts w:ascii="Arial" w:cs="Arial" w:hAnsi="Arial"/>
          <w:sz w:val="20"/>
          <w:szCs w:val="20"/>
        </w:rPr>
        <w:t>PROFESORAS: </w:t>
      </w:r>
    </w:p>
    <w:p>
      <w:pPr>
        <w:pStyle w:val="style37"/>
      </w:pPr>
      <w:r>
        <w:rPr/>
      </w:r>
    </w:p>
    <w:p>
      <w:pPr>
        <w:pStyle w:val="style37"/>
      </w:pPr>
      <w:r>
        <w:rPr>
          <w:rFonts w:ascii="Arial" w:cs="Arial" w:hAnsi="Arial"/>
          <w:sz w:val="20"/>
          <w:szCs w:val="20"/>
        </w:rPr>
        <w:t>- Celeste T. Samec</w:t>
      </w:r>
    </w:p>
    <w:p>
      <w:pPr>
        <w:pStyle w:val="style37"/>
      </w:pPr>
      <w:r>
        <w:rPr>
          <w:rFonts w:ascii="Arial" w:cs="Arial" w:hAnsi="Arial"/>
          <w:sz w:val="20"/>
          <w:szCs w:val="20"/>
        </w:rPr>
        <w:t>- Violeta A. Killian Galván</w:t>
      </w:r>
    </w:p>
    <w:p>
      <w:pPr>
        <w:pStyle w:val="style37"/>
      </w:pPr>
      <w:r>
        <w:rPr/>
      </w:r>
    </w:p>
    <w:p>
      <w:pPr>
        <w:pStyle w:val="style37"/>
      </w:pPr>
      <w:r>
        <w:rPr>
          <w:rFonts w:ascii="Arial" w:cs="Arial" w:hAnsi="Arial"/>
          <w:caps/>
          <w:sz w:val="20"/>
          <w:szCs w:val="20"/>
        </w:rPr>
        <w:t>Profesor Invitado:</w:t>
      </w:r>
    </w:p>
    <w:p>
      <w:pPr>
        <w:pStyle w:val="style37"/>
      </w:pPr>
      <w:r>
        <w:rPr/>
      </w:r>
    </w:p>
    <w:p>
      <w:pPr>
        <w:pStyle w:val="style37"/>
      </w:pPr>
      <w:r>
        <w:rPr>
          <w:rFonts w:ascii="Arial" w:cs="Arial" w:hAnsi="Arial"/>
          <w:sz w:val="20"/>
          <w:szCs w:val="20"/>
        </w:rPr>
        <w:t>-Augusto Tessone</w:t>
      </w:r>
    </w:p>
    <w:p>
      <w:pPr>
        <w:pStyle w:val="style37"/>
      </w:pPr>
      <w:r>
        <w:rPr/>
      </w:r>
    </w:p>
    <w:p>
      <w:pPr>
        <w:pStyle w:val="style37"/>
      </w:pPr>
      <w:r>
        <w:rPr>
          <w:rFonts w:ascii="Arial" w:cs="Arial" w:hAnsi="Arial"/>
          <w:sz w:val="20"/>
          <w:szCs w:val="20"/>
        </w:rPr>
        <w:t xml:space="preserve">FUNDAMENTACIÓN </w:t>
      </w:r>
    </w:p>
    <w:p>
      <w:pPr>
        <w:pStyle w:val="style37"/>
        <w:jc w:val="both"/>
      </w:pPr>
      <w:r>
        <w:rPr/>
      </w:r>
    </w:p>
    <w:p>
      <w:pPr>
        <w:pStyle w:val="style37"/>
        <w:jc w:val="both"/>
      </w:pPr>
      <w:r>
        <w:rPr>
          <w:rFonts w:ascii="Arial" w:cs="Arial" w:hAnsi="Arial"/>
          <w:sz w:val="20"/>
          <w:szCs w:val="20"/>
        </w:rPr>
        <w:t>Los análisis de isótopos estables constituyen una técnica que puede aplicarse al estudio de diversas problemáticas dentro de diferentes disciplinas, tales como la geoquímica, la climatología, la hidrología, la ecología y la medicina forense. Sin embargo, la arqueología ha sido una de las que ha dado mayor impulso a su desarrollo desde el comienzo.</w:t>
      </w:r>
    </w:p>
    <w:p>
      <w:pPr>
        <w:pStyle w:val="style37"/>
        <w:jc w:val="both"/>
      </w:pPr>
      <w:r>
        <w:rPr>
          <w:rFonts w:ascii="Arial" w:cs="Arial" w:hAnsi="Arial"/>
          <w:sz w:val="20"/>
          <w:szCs w:val="20"/>
        </w:rPr>
        <w:t xml:space="preserve">Los isótopos son átomos de un mismo elemento que difieren en la cantidad de neutrones en su núcleo, por lo que tienen el mismo número atómico pero diferente masa, lo cual tiene un impacto sutil en las propiedades químicas. Si bien pueden existir diferentes isótopos de un mismo elemento, uno de ellos es siempre el más abundante (Ehleringer </w:t>
      </w:r>
      <w:r>
        <w:rPr>
          <w:rFonts w:ascii="Arial" w:cs="Arial" w:hAnsi="Arial"/>
          <w:i/>
          <w:sz w:val="20"/>
          <w:szCs w:val="20"/>
        </w:rPr>
        <w:t>et al.</w:t>
      </w:r>
      <w:r>
        <w:rPr>
          <w:rFonts w:ascii="Arial" w:cs="Arial" w:hAnsi="Arial"/>
          <w:sz w:val="20"/>
          <w:szCs w:val="20"/>
        </w:rPr>
        <w:t xml:space="preserve"> 1989). Los que nos importan aquí, son los denominados estables que, a diferencia de los radioactivos, no decaen y se mantienen en la misma forma por mucho tiempo luego de ser formados (Fry 2006). En ecología, su utilidad radica en que permiten rastrear detalles del ciclo de un elemento dado en la naturaleza y, particularmente, su tránsito a través de las cadenas tróficas. Los principales elementos utilizados en los estudios ambientales son el Carbono (C), el Nitrógeno (N), el Hidrógeno (H) y el Oxígeno (O), y en menor medida el Estroncio (Sr) y el Azufre (S), ya que los cuatro primeros comprenden la mayor parte de los elementos que integran cualquier tejido de origen orgánico. En este seminario nos concentraremos en aquellos elementos que permitan poner a prueba hipótesis en arqueología y ecología. </w:t>
      </w:r>
    </w:p>
    <w:p>
      <w:pPr>
        <w:pStyle w:val="style37"/>
      </w:pPr>
      <w:r>
        <w:rPr/>
      </w:r>
    </w:p>
    <w:p>
      <w:pPr>
        <w:pStyle w:val="style37"/>
      </w:pPr>
      <w:r>
        <w:rPr/>
      </w:r>
    </w:p>
    <w:p>
      <w:pPr>
        <w:pStyle w:val="style37"/>
      </w:pPr>
      <w:r>
        <w:rPr>
          <w:rFonts w:ascii="Arial" w:cs="Arial" w:hAnsi="Arial"/>
          <w:sz w:val="20"/>
          <w:szCs w:val="20"/>
        </w:rPr>
        <w:t>PROPÓSITOS Y OBJETIVOS DEL SEMINARIO </w:t>
      </w:r>
    </w:p>
    <w:p>
      <w:pPr>
        <w:pStyle w:val="style37"/>
      </w:pPr>
      <w:r>
        <w:rPr/>
      </w:r>
    </w:p>
    <w:p>
      <w:pPr>
        <w:pStyle w:val="style37"/>
        <w:jc w:val="both"/>
      </w:pPr>
      <w:r>
        <w:rPr>
          <w:rFonts w:ascii="Arial" w:cs="Arial" w:hAnsi="Arial"/>
          <w:sz w:val="20"/>
          <w:szCs w:val="20"/>
        </w:rPr>
        <w:t xml:space="preserve">La propuesta consiste en ofrecer una herramienta metodológica que pueda ser utilizada desde diferentes marcos teóricos para resolver diversos problemas de investigación arqueológicos. Se trata de una vía de análisis independiente que permite contrastar hipótesis -generadas desde de otras líneas de evidencia arqueológicas- sobre la alimentación y la movilidad humana en el pasado. </w:t>
      </w:r>
    </w:p>
    <w:p>
      <w:pPr>
        <w:pStyle w:val="style37"/>
        <w:jc w:val="both"/>
      </w:pPr>
      <w:r>
        <w:rPr>
          <w:rFonts w:ascii="Arial" w:cs="Arial" w:hAnsi="Arial"/>
          <w:sz w:val="20"/>
          <w:szCs w:val="20"/>
        </w:rPr>
        <w:t xml:space="preserve">Por lo tanto, se propone adquirir el lenguaje técnico y la comprensión metodológica y técnica del uso de isótopos estables mediante la discusión de casos de estudio en diferentes áreas de la Argentina y el mundo, tanto con ejemplos arqueológicos como ecológicos. De este modo se podrá abordar las múltiples variables que intervienen en la generación de los patrones de distribución de la información isotópica. </w:t>
      </w:r>
    </w:p>
    <w:p>
      <w:pPr>
        <w:pStyle w:val="style37"/>
        <w:jc w:val="both"/>
      </w:pPr>
      <w:r>
        <w:rPr>
          <w:rFonts w:ascii="Arial" w:cs="Arial" w:hAnsi="Arial"/>
          <w:sz w:val="20"/>
          <w:szCs w:val="20"/>
        </w:rPr>
        <w:t xml:space="preserve">El seminario se propone finalmente, captar todos los pasos necesarios para realizar una investigación utilizando esta metodología, desde el planteo del problema, el muestreo y procesamiento de materiales, hasta la interpretación de los resultados. Esto requerirá una salida de campo y la visita a laboratorios con equipos analíticos en Buenos Aires. </w:t>
      </w:r>
    </w:p>
    <w:p>
      <w:pPr>
        <w:pStyle w:val="style37"/>
      </w:pPr>
      <w:r>
        <w:rPr/>
      </w:r>
    </w:p>
    <w:p>
      <w:pPr>
        <w:pStyle w:val="style37"/>
      </w:pPr>
      <w:r>
        <w:rPr>
          <w:rFonts w:ascii="Arial" w:cs="Arial" w:hAnsi="Arial"/>
          <w:b/>
          <w:sz w:val="20"/>
          <w:szCs w:val="20"/>
        </w:rPr>
        <w:t>Los objetivos específicos son</w:t>
      </w:r>
      <w:r>
        <w:rPr>
          <w:rFonts w:ascii="Arial" w:cs="Arial" w:hAnsi="Arial"/>
          <w:sz w:val="20"/>
          <w:szCs w:val="20"/>
        </w:rPr>
        <w:t>:</w:t>
      </w:r>
    </w:p>
    <w:p>
      <w:pPr>
        <w:pStyle w:val="style37"/>
        <w:jc w:val="both"/>
      </w:pPr>
      <w:r>
        <w:rPr/>
      </w:r>
    </w:p>
    <w:p>
      <w:pPr>
        <w:pStyle w:val="style37"/>
        <w:numPr>
          <w:ilvl w:val="0"/>
          <w:numId w:val="1"/>
        </w:numPr>
        <w:jc w:val="both"/>
      </w:pPr>
      <w:r>
        <w:rPr>
          <w:rFonts w:ascii="Arial" w:cs="Arial" w:hAnsi="Arial"/>
          <w:sz w:val="20"/>
          <w:szCs w:val="20"/>
        </w:rPr>
        <w:t xml:space="preserve">Comprender los principios del análisis de isótopos estables y presentar sus diversas aplicaciones en arqueología. </w:t>
      </w:r>
    </w:p>
    <w:p>
      <w:pPr>
        <w:pStyle w:val="style37"/>
        <w:numPr>
          <w:ilvl w:val="0"/>
          <w:numId w:val="1"/>
        </w:numPr>
        <w:jc w:val="both"/>
      </w:pPr>
      <w:r>
        <w:rPr>
          <w:rFonts w:ascii="Arial" w:cs="Arial" w:hAnsi="Arial"/>
          <w:sz w:val="20"/>
          <w:szCs w:val="20"/>
        </w:rPr>
        <w:t>Proveer una introducción para la interpretación de datos isotópicos en investigaciones paleodietarias y de movilidad.</w:t>
      </w:r>
    </w:p>
    <w:p>
      <w:pPr>
        <w:pStyle w:val="style37"/>
        <w:numPr>
          <w:ilvl w:val="0"/>
          <w:numId w:val="1"/>
        </w:numPr>
        <w:jc w:val="both"/>
      </w:pPr>
      <w:r>
        <w:rPr>
          <w:rFonts w:ascii="Arial" w:cs="Arial" w:hAnsi="Arial"/>
          <w:sz w:val="20"/>
          <w:szCs w:val="20"/>
        </w:rPr>
        <w:t>Brindar un entrenamiento en la preparación de diversos tipos de muestras biológicas para el análisis de isótopos estables y realizar una aproximación al uso de técnicas de laboratorio.</w:t>
      </w:r>
    </w:p>
    <w:p>
      <w:pPr>
        <w:pStyle w:val="style37"/>
      </w:pPr>
      <w:r>
        <w:rPr/>
      </w:r>
    </w:p>
    <w:p>
      <w:pPr>
        <w:pStyle w:val="style37"/>
      </w:pPr>
      <w:r>
        <w:rPr/>
      </w:r>
    </w:p>
    <w:p>
      <w:pPr>
        <w:pStyle w:val="style37"/>
      </w:pPr>
      <w:r>
        <w:rPr/>
      </w:r>
    </w:p>
    <w:p>
      <w:pPr>
        <w:pStyle w:val="style37"/>
      </w:pPr>
      <w:r>
        <w:rPr>
          <w:rFonts w:ascii="Arial" w:cs="Arial" w:hAnsi="Arial"/>
          <w:b/>
          <w:sz w:val="20"/>
          <w:szCs w:val="20"/>
        </w:rPr>
        <w:t>UNIDADES TEMÁTICAS</w:t>
      </w:r>
    </w:p>
    <w:p>
      <w:pPr>
        <w:pStyle w:val="style37"/>
      </w:pPr>
      <w:r>
        <w:rPr/>
      </w:r>
    </w:p>
    <w:p>
      <w:pPr>
        <w:pStyle w:val="style37"/>
      </w:pPr>
      <w:r>
        <w:rPr/>
      </w:r>
    </w:p>
    <w:p>
      <w:pPr>
        <w:pStyle w:val="style37"/>
      </w:pPr>
      <w:r>
        <w:rPr>
          <w:rFonts w:ascii="Arial" w:cs="Arial" w:hAnsi="Arial"/>
          <w:b/>
          <w:sz w:val="20"/>
          <w:szCs w:val="20"/>
        </w:rPr>
        <w:t xml:space="preserve">UNIDAD 1. Introducción a la biogeoquímica. </w:t>
      </w:r>
    </w:p>
    <w:p>
      <w:pPr>
        <w:pStyle w:val="style37"/>
      </w:pPr>
      <w:r>
        <w:rPr/>
      </w:r>
    </w:p>
    <w:p>
      <w:pPr>
        <w:pStyle w:val="style37"/>
      </w:pPr>
      <w:r>
        <w:rPr>
          <w:rFonts w:ascii="Arial" w:cs="Arial" w:hAnsi="Arial"/>
          <w:sz w:val="20"/>
          <w:szCs w:val="20"/>
        </w:rPr>
        <w:t xml:space="preserve">Aspectos teóricos de química y medición de isótopos estables. Formas de notación y terminología básica. Fraccionamiento y mezcla. Instrumentación. Aplicación en ecología y ciencias ambientales. </w:t>
      </w:r>
    </w:p>
    <w:p>
      <w:pPr>
        <w:pStyle w:val="style37"/>
      </w:pPr>
      <w:r>
        <w:rPr/>
      </w:r>
    </w:p>
    <w:p>
      <w:pPr>
        <w:pStyle w:val="style37"/>
      </w:pPr>
      <w:r>
        <w:rPr>
          <w:rFonts w:ascii="Arial" w:cs="Arial" w:hAnsi="Arial"/>
          <w:b/>
          <w:sz w:val="20"/>
          <w:szCs w:val="20"/>
        </w:rPr>
        <w:t>UNIDAD 2. Isótopos de carbono y nitrógeno y su variación en plantas.</w:t>
      </w:r>
    </w:p>
    <w:p>
      <w:pPr>
        <w:pStyle w:val="style37"/>
      </w:pPr>
      <w:r>
        <w:rPr/>
      </w:r>
    </w:p>
    <w:p>
      <w:pPr>
        <w:pStyle w:val="style37"/>
      </w:pPr>
      <w:r>
        <w:rPr>
          <w:rFonts w:ascii="Arial" w:cs="Arial" w:hAnsi="Arial"/>
          <w:sz w:val="20"/>
          <w:szCs w:val="20"/>
        </w:rPr>
        <w:t xml:space="preserve">Patrones fotosintéticos. Variación intra e interespecífica. Fuentes de nitrógeno disponibles para plantas. Diferencias isotópicas entre tejidos. Principales variables ambientales que influyen en la distribución de valores isotópicos. </w:t>
      </w:r>
    </w:p>
    <w:p>
      <w:pPr>
        <w:pStyle w:val="style37"/>
      </w:pPr>
      <w:r>
        <w:rPr/>
      </w:r>
    </w:p>
    <w:p>
      <w:pPr>
        <w:pStyle w:val="style37"/>
      </w:pPr>
      <w:r>
        <w:rPr>
          <w:rFonts w:ascii="Arial" w:cs="Arial" w:hAnsi="Arial"/>
          <w:b/>
          <w:sz w:val="20"/>
          <w:szCs w:val="20"/>
        </w:rPr>
        <w:t>UNIDAD 3. Isótopos de carbono y nitrógeno en el estudio de vertebrados modernos y fósiles.</w:t>
      </w:r>
    </w:p>
    <w:p>
      <w:pPr>
        <w:pStyle w:val="style37"/>
      </w:pPr>
      <w:r>
        <w:rPr/>
      </w:r>
    </w:p>
    <w:p>
      <w:pPr>
        <w:pStyle w:val="style37"/>
      </w:pPr>
      <w:r>
        <w:rPr>
          <w:rFonts w:ascii="Arial" w:cs="Arial" w:hAnsi="Arial"/>
          <w:sz w:val="20"/>
          <w:szCs w:val="20"/>
        </w:rPr>
        <w:t>Tipos de tejidos posibles de estudiarse. Diferencias en ambientes terrestres, marítimos, rivereños, estuarios y lagos.</w:t>
      </w:r>
    </w:p>
    <w:p>
      <w:pPr>
        <w:pStyle w:val="style37"/>
      </w:pPr>
      <w:r>
        <w:rPr/>
      </w:r>
    </w:p>
    <w:p>
      <w:pPr>
        <w:pStyle w:val="style37"/>
      </w:pPr>
      <w:r>
        <w:rPr>
          <w:rFonts w:ascii="Arial" w:cs="Arial" w:hAnsi="Arial"/>
          <w:b/>
          <w:sz w:val="20"/>
          <w:szCs w:val="20"/>
        </w:rPr>
        <w:t>UNIDAD 4. Reconstrucción paleodietaria.</w:t>
      </w:r>
    </w:p>
    <w:p>
      <w:pPr>
        <w:pStyle w:val="style37"/>
      </w:pPr>
      <w:r>
        <w:rPr/>
      </w:r>
    </w:p>
    <w:p>
      <w:pPr>
        <w:pStyle w:val="style37"/>
      </w:pPr>
      <w:r>
        <w:rPr>
          <w:rFonts w:ascii="Arial" w:cs="Arial" w:hAnsi="Arial"/>
          <w:sz w:val="20"/>
          <w:szCs w:val="20"/>
        </w:rPr>
        <w:t>Casos de aplicación en animales y humanos. Tasas de recambio de isótopos en diferentes tejidos. Modelos de mezcla. Estudios de movilidad pastoril, consumo de maíz, dietas basadas en recursos marítimos vs. terrestres. Amamantamiento y destete. Aplicación del estudio de isótopos ambientales en sociedades cazadoras-recolectoras. Aplicación en la arqueología de la agricultura y el pastoralismo.</w:t>
      </w:r>
    </w:p>
    <w:p>
      <w:pPr>
        <w:pStyle w:val="style37"/>
      </w:pPr>
      <w:r>
        <w:rPr/>
      </w:r>
    </w:p>
    <w:p>
      <w:pPr>
        <w:pStyle w:val="style37"/>
      </w:pPr>
      <w:r>
        <w:rPr>
          <w:rFonts w:ascii="Arial" w:cs="Arial" w:hAnsi="Arial"/>
          <w:b/>
          <w:sz w:val="20"/>
          <w:szCs w:val="20"/>
        </w:rPr>
        <w:t>UNIDAD 5. Movilidad e información isotópica</w:t>
      </w:r>
    </w:p>
    <w:p>
      <w:pPr>
        <w:pStyle w:val="style37"/>
      </w:pPr>
      <w:r>
        <w:rPr/>
      </w:r>
    </w:p>
    <w:p>
      <w:pPr>
        <w:pStyle w:val="style37"/>
      </w:pPr>
      <w:r>
        <w:rPr>
          <w:rFonts w:ascii="Arial" w:cs="Arial" w:hAnsi="Arial"/>
          <w:sz w:val="20"/>
          <w:szCs w:val="20"/>
        </w:rPr>
        <w:t xml:space="preserve">Isótopos de oxígeno y estroncio. Sistemas isotópicos con variación espacial. Movimiento de animales y humanos. </w:t>
      </w:r>
    </w:p>
    <w:p>
      <w:pPr>
        <w:pStyle w:val="style37"/>
      </w:pPr>
      <w:r>
        <w:rPr/>
      </w:r>
    </w:p>
    <w:p>
      <w:pPr>
        <w:pStyle w:val="style37"/>
      </w:pPr>
      <w:r>
        <w:rPr>
          <w:rFonts w:ascii="Arial" w:cs="Arial" w:hAnsi="Arial"/>
          <w:b/>
          <w:sz w:val="20"/>
          <w:szCs w:val="20"/>
        </w:rPr>
        <w:t>UNIDAD 6. Protocolos de laboratorio y preparación de muestras para el análisis</w:t>
      </w:r>
    </w:p>
    <w:p>
      <w:pPr>
        <w:pStyle w:val="style37"/>
      </w:pPr>
      <w:r>
        <w:rPr/>
      </w:r>
    </w:p>
    <w:p>
      <w:pPr>
        <w:pStyle w:val="style37"/>
      </w:pPr>
      <w:r>
        <w:rPr>
          <w:rFonts w:ascii="Arial" w:cs="Arial" w:hAnsi="Arial"/>
          <w:sz w:val="20"/>
          <w:szCs w:val="20"/>
        </w:rPr>
        <w:t xml:space="preserve">Procesos de desmineralización y procesos de obtención de la fracción biomineral. Estrategias de muestreo y escalas de resolución. Métodos para controlar la integridad de la muestra y la calidad de la señal isotópica. </w:t>
      </w:r>
    </w:p>
    <w:p>
      <w:pPr>
        <w:pStyle w:val="style37"/>
      </w:pPr>
      <w:r>
        <w:rPr/>
      </w:r>
    </w:p>
    <w:p>
      <w:pPr>
        <w:pStyle w:val="style37"/>
      </w:pPr>
      <w:r>
        <w:rPr>
          <w:rFonts w:ascii="Arial" w:cs="Arial" w:hAnsi="Arial"/>
          <w:b/>
          <w:sz w:val="20"/>
          <w:szCs w:val="20"/>
        </w:rPr>
        <w:t>UNIDAD 7. Interpretación y publicación de los datos</w:t>
      </w:r>
    </w:p>
    <w:p>
      <w:pPr>
        <w:pStyle w:val="style37"/>
      </w:pPr>
      <w:r>
        <w:rPr/>
      </w:r>
    </w:p>
    <w:p>
      <w:pPr>
        <w:pStyle w:val="style37"/>
      </w:pPr>
      <w:r>
        <w:rPr>
          <w:rFonts w:ascii="Arial" w:cs="Arial" w:hAnsi="Arial"/>
          <w:sz w:val="20"/>
          <w:szCs w:val="20"/>
        </w:rPr>
        <w:t>Herramientas para la interpretación. Recursos y bases de datos disponibles en sitios web. Publicación de los resultados: qué es correcto y qué no.</w:t>
      </w:r>
    </w:p>
    <w:p>
      <w:pPr>
        <w:pStyle w:val="style37"/>
      </w:pPr>
      <w:r>
        <w:rPr/>
      </w:r>
    </w:p>
    <w:p>
      <w:pPr>
        <w:pStyle w:val="style37"/>
      </w:pPr>
      <w:r>
        <w:rPr/>
      </w:r>
    </w:p>
    <w:p>
      <w:pPr>
        <w:pStyle w:val="style37"/>
      </w:pPr>
      <w:r>
        <w:rPr/>
      </w:r>
    </w:p>
    <w:p>
      <w:pPr>
        <w:pStyle w:val="style37"/>
      </w:pPr>
      <w:r>
        <w:rPr>
          <w:rFonts w:ascii="Arial" w:cs="Arial" w:hAnsi="Arial"/>
          <w:b/>
          <w:sz w:val="20"/>
          <w:szCs w:val="20"/>
        </w:rPr>
        <w:t>BIBLIOGRAFÍA OBLIGATORIA</w:t>
      </w:r>
    </w:p>
    <w:p>
      <w:pPr>
        <w:pStyle w:val="style37"/>
      </w:pPr>
      <w:r>
        <w:rPr/>
      </w:r>
    </w:p>
    <w:p>
      <w:pPr>
        <w:pStyle w:val="style37"/>
      </w:pPr>
      <w:r>
        <w:rPr/>
      </w:r>
    </w:p>
    <w:p>
      <w:pPr>
        <w:pStyle w:val="style37"/>
      </w:pPr>
      <w:r>
        <w:rPr>
          <w:rFonts w:ascii="Arial" w:cs="Arial" w:hAnsi="Arial"/>
          <w:b/>
          <w:sz w:val="20"/>
          <w:szCs w:val="20"/>
        </w:rPr>
        <w:t>UNIDAD 1. Introducción a la biogeoquímica</w:t>
      </w:r>
    </w:p>
    <w:p>
      <w:pPr>
        <w:pStyle w:val="style37"/>
      </w:pPr>
      <w:r>
        <w:rPr/>
      </w:r>
    </w:p>
    <w:p>
      <w:pPr>
        <w:pStyle w:val="style37"/>
      </w:pPr>
      <w:r>
        <w:rPr>
          <w:rFonts w:ascii="Arial" w:cs="Arial" w:hAnsi="Arial"/>
          <w:sz w:val="20"/>
          <w:szCs w:val="20"/>
        </w:rPr>
        <w:t xml:space="preserve">- </w:t>
      </w:r>
      <w:r>
        <w:rPr>
          <w:rFonts w:ascii="Arial" w:cs="Arial" w:hAnsi="Arial"/>
          <w:sz w:val="20"/>
          <w:szCs w:val="20"/>
          <w:shd w:fill="FFFFFF" w:val="clear"/>
        </w:rPr>
        <w:t>Redondo Ortega, R. (2008) Fundamentos teóricos y técnicos de los isótopos estables. En</w:t>
      </w:r>
      <w:r>
        <w:rPr>
          <w:rStyle w:val="style16"/>
          <w:rFonts w:ascii="Arial" w:cs="Arial" w:hAnsi="Arial"/>
          <w:color w:val="222222"/>
          <w:sz w:val="20"/>
          <w:szCs w:val="20"/>
          <w:shd w:fill="FFFFFF" w:val="clear"/>
        </w:rPr>
        <w:t> </w:t>
      </w:r>
      <w:r>
        <w:rPr>
          <w:rFonts w:ascii="Arial" w:cs="Arial" w:hAnsi="Arial"/>
          <w:sz w:val="20"/>
          <w:szCs w:val="20"/>
          <w:shd w:fill="FFFFFF" w:val="clear"/>
        </w:rPr>
        <w:t xml:space="preserve">Alcorlo, P. </w:t>
      </w:r>
      <w:r>
        <w:rPr>
          <w:rFonts w:ascii="Arial" w:cs="Arial" w:hAnsi="Arial"/>
          <w:i/>
          <w:sz w:val="20"/>
          <w:szCs w:val="20"/>
          <w:shd w:fill="FFFFFF" w:val="clear"/>
        </w:rPr>
        <w:t>et al</w:t>
      </w:r>
      <w:r>
        <w:rPr>
          <w:rFonts w:ascii="Arial" w:cs="Arial" w:hAnsi="Arial"/>
          <w:sz w:val="20"/>
          <w:szCs w:val="20"/>
          <w:shd w:fill="FFFFFF" w:val="clear"/>
        </w:rPr>
        <w:t>. (Editores)</w:t>
      </w:r>
      <w:r>
        <w:rPr>
          <w:rFonts w:ascii="Arial" w:cs="Arial" w:hAnsi="Arial"/>
          <w:i/>
          <w:iCs/>
          <w:sz w:val="20"/>
          <w:szCs w:val="20"/>
          <w:shd w:fill="FFFFFF" w:val="clear"/>
        </w:rPr>
        <w:t xml:space="preserve"> Técnicas y aplicaciones multidisciplinares de los isótopos ambientales,</w:t>
      </w:r>
      <w:r>
        <w:rPr>
          <w:rStyle w:val="style16"/>
          <w:rFonts w:ascii="Arial" w:cs="Arial" w:hAnsi="Arial"/>
          <w:color w:val="222222"/>
          <w:sz w:val="20"/>
          <w:szCs w:val="20"/>
          <w:shd w:fill="FFFFFF" w:val="clear"/>
        </w:rPr>
        <w:t> </w:t>
      </w:r>
      <w:r>
        <w:rPr>
          <w:rFonts w:ascii="Arial" w:cs="Arial" w:hAnsi="Arial"/>
          <w:sz w:val="20"/>
          <w:szCs w:val="20"/>
          <w:shd w:fill="FFFFFF" w:val="clear"/>
        </w:rPr>
        <w:t xml:space="preserve">pp. 9-24. Servicio de Publicaciones de la Universidad Autónoma de Madrid. </w:t>
      </w:r>
    </w:p>
    <w:p>
      <w:pPr>
        <w:pStyle w:val="style37"/>
      </w:pPr>
      <w:r>
        <w:rPr/>
      </w:r>
    </w:p>
    <w:p>
      <w:pPr>
        <w:pStyle w:val="style37"/>
      </w:pPr>
      <w:r>
        <w:rPr>
          <w:rFonts w:ascii="Arial" w:cs="Arial" w:hAnsi="Arial"/>
          <w:sz w:val="20"/>
          <w:szCs w:val="20"/>
          <w:shd w:fill="FFFFFF" w:val="clear"/>
        </w:rPr>
        <w:t xml:space="preserve">- Reyes, E. (2004) Geoquímica de Isótopos estables: Fundamentos, técnicas y aplicaciones. En: Barbero, L. y Mata, M.P. (Editores) </w:t>
      </w:r>
      <w:r>
        <w:rPr>
          <w:rFonts w:ascii="Arial" w:cs="Arial" w:hAnsi="Arial"/>
          <w:i/>
          <w:sz w:val="20"/>
          <w:szCs w:val="20"/>
          <w:shd w:fill="FFFFFF" w:val="clear"/>
        </w:rPr>
        <w:t>Seminarios de la sociedad española de mineralogía,  Vol 1: Geoquímica isotópica aplicada al medioambiente.</w:t>
      </w:r>
      <w:r>
        <w:rPr>
          <w:rFonts w:ascii="Arial" w:cs="Arial" w:hAnsi="Arial"/>
          <w:sz w:val="20"/>
          <w:szCs w:val="20"/>
          <w:shd w:fill="FFFFFF" w:val="clear"/>
        </w:rPr>
        <w:t xml:space="preserve"> Universidad de Cádiz: Sociedad española de mineralogía. </w:t>
      </w:r>
    </w:p>
    <w:p>
      <w:pPr>
        <w:pStyle w:val="style37"/>
      </w:pPr>
      <w:r>
        <w:rPr/>
      </w:r>
    </w:p>
    <w:p>
      <w:pPr>
        <w:pStyle w:val="style37"/>
      </w:pPr>
      <w:r>
        <w:rPr>
          <w:rFonts w:ascii="Arial" w:cs="Arial" w:hAnsi="Arial"/>
          <w:sz w:val="20"/>
          <w:szCs w:val="20"/>
          <w:shd w:fill="FFFFFF" w:val="clear"/>
        </w:rPr>
        <w:t>- Panarello, H., Tessone, A., y Zangrando, A. (2010) Isótopos estables en arqueología: principios teóricos, aspectos metodológicos y aplicaciones en Argentina.</w:t>
      </w:r>
      <w:r>
        <w:rPr>
          <w:rStyle w:val="style16"/>
          <w:rFonts w:ascii="Arial" w:cs="Arial" w:hAnsi="Arial"/>
          <w:color w:val="222222"/>
          <w:sz w:val="20"/>
          <w:szCs w:val="20"/>
          <w:shd w:fill="FFFFFF" w:val="clear"/>
        </w:rPr>
        <w:t> </w:t>
      </w:r>
      <w:r>
        <w:rPr>
          <w:rFonts w:ascii="Arial" w:cs="Arial" w:hAnsi="Arial"/>
          <w:i/>
          <w:iCs/>
          <w:sz w:val="20"/>
          <w:szCs w:val="20"/>
          <w:shd w:fill="FFFFFF" w:val="clear"/>
        </w:rPr>
        <w:t>Xama</w:t>
      </w:r>
      <w:r>
        <w:rPr>
          <w:rStyle w:val="style16"/>
          <w:rFonts w:ascii="Arial" w:cs="Arial" w:hAnsi="Arial"/>
          <w:color w:val="222222"/>
          <w:sz w:val="20"/>
          <w:szCs w:val="20"/>
          <w:shd w:fill="FFFFFF" w:val="clear"/>
        </w:rPr>
        <w:t> </w:t>
      </w:r>
      <w:r>
        <w:rPr>
          <w:rFonts w:ascii="Arial" w:cs="Arial" w:hAnsi="Arial"/>
          <w:iCs/>
          <w:sz w:val="20"/>
          <w:szCs w:val="20"/>
          <w:shd w:fill="FFFFFF" w:val="clear"/>
        </w:rPr>
        <w:t>19:</w:t>
      </w:r>
      <w:r>
        <w:rPr>
          <w:rFonts w:ascii="Arial" w:cs="Arial" w:hAnsi="Arial"/>
          <w:sz w:val="20"/>
          <w:szCs w:val="20"/>
          <w:shd w:fill="FFFFFF" w:val="clear"/>
        </w:rPr>
        <w:t xml:space="preserve"> 115-133.</w:t>
      </w:r>
    </w:p>
    <w:p>
      <w:pPr>
        <w:pStyle w:val="style37"/>
      </w:pPr>
      <w:r>
        <w:rPr/>
      </w:r>
    </w:p>
    <w:p>
      <w:pPr>
        <w:pStyle w:val="style37"/>
      </w:pPr>
      <w:r>
        <w:rPr>
          <w:rFonts w:ascii="Arial" w:cs="Arial" w:hAnsi="Arial"/>
          <w:b/>
          <w:sz w:val="20"/>
          <w:szCs w:val="20"/>
        </w:rPr>
        <w:t>UNIDAD 2. Isótopos de carbono y nitrógeno y su variación en plantas</w:t>
      </w:r>
    </w:p>
    <w:p>
      <w:pPr>
        <w:pStyle w:val="style37"/>
      </w:pPr>
      <w:r>
        <w:rPr/>
      </w:r>
    </w:p>
    <w:p>
      <w:pPr>
        <w:pStyle w:val="style37"/>
      </w:pPr>
      <w:r>
        <w:rPr>
          <w:rFonts w:ascii="Arial" w:cs="Arial" w:hAnsi="Arial"/>
          <w:bCs/>
          <w:caps/>
          <w:color w:val="000000"/>
          <w:sz w:val="20"/>
          <w:szCs w:val="20"/>
          <w:lang w:val="en-GB"/>
        </w:rPr>
        <w:t xml:space="preserve">- </w:t>
      </w:r>
      <w:r>
        <w:rPr>
          <w:rFonts w:ascii="Arial" w:cs="Arial" w:hAnsi="Arial"/>
          <w:bCs/>
          <w:color w:val="000000"/>
          <w:sz w:val="20"/>
          <w:szCs w:val="20"/>
          <w:lang w:val="en-GB"/>
        </w:rPr>
        <w:t>Tieszen, L.</w:t>
      </w:r>
      <w:r>
        <w:rPr>
          <w:rFonts w:ascii="Arial" w:cs="Arial" w:hAnsi="Arial"/>
          <w:caps/>
          <w:color w:val="000000"/>
          <w:sz w:val="20"/>
          <w:szCs w:val="20"/>
          <w:lang w:val="en-GB"/>
        </w:rPr>
        <w:t xml:space="preserve"> (1991)</w:t>
      </w:r>
      <w:r>
        <w:rPr>
          <w:rFonts w:ascii="Arial" w:cs="Arial" w:hAnsi="Arial"/>
          <w:color w:val="000000"/>
          <w:sz w:val="20"/>
          <w:szCs w:val="20"/>
          <w:lang w:val="en-GB"/>
        </w:rPr>
        <w:t xml:space="preserve"> Natural variations in the Carbon Isotope Values of plants: implications for archaeology, ecology and paleoecology. </w:t>
      </w:r>
      <w:r>
        <w:rPr>
          <w:rFonts w:ascii="Arial" w:cs="Arial" w:hAnsi="Arial"/>
          <w:i/>
          <w:iCs/>
          <w:color w:val="000000"/>
          <w:sz w:val="20"/>
          <w:szCs w:val="20"/>
          <w:lang w:val="en-US"/>
        </w:rPr>
        <w:t>Journal of Archaeological Science</w:t>
      </w:r>
      <w:r>
        <w:rPr>
          <w:rFonts w:ascii="Arial" w:cs="Arial" w:hAnsi="Arial"/>
          <w:color w:val="000000"/>
          <w:sz w:val="20"/>
          <w:szCs w:val="20"/>
          <w:lang w:val="en-US"/>
        </w:rPr>
        <w:t xml:space="preserve"> 18: 227-248.</w:t>
      </w:r>
    </w:p>
    <w:p>
      <w:pPr>
        <w:pStyle w:val="style37"/>
      </w:pPr>
      <w:r>
        <w:rPr/>
      </w:r>
    </w:p>
    <w:p>
      <w:pPr>
        <w:pStyle w:val="style37"/>
      </w:pPr>
      <w:r>
        <w:rPr>
          <w:rFonts w:ascii="Arial" w:cs="Arial" w:hAnsi="Arial"/>
          <w:b/>
          <w:sz w:val="20"/>
          <w:szCs w:val="20"/>
          <w:lang w:val="en-US"/>
        </w:rPr>
        <w:t xml:space="preserve">- </w:t>
      </w:r>
      <w:r>
        <w:rPr>
          <w:rFonts w:ascii="Arial" w:cs="Arial" w:hAnsi="Arial"/>
          <w:sz w:val="20"/>
          <w:szCs w:val="20"/>
          <w:shd w:fill="FFFFFF" w:val="clear"/>
          <w:lang w:val="en-US"/>
        </w:rPr>
        <w:t xml:space="preserve">Squeo, F. A., y Ehleringer, J. R. (2004). </w:t>
      </w:r>
      <w:r>
        <w:rPr>
          <w:rFonts w:ascii="Arial" w:cs="Arial" w:hAnsi="Arial"/>
          <w:sz w:val="20"/>
          <w:szCs w:val="20"/>
          <w:shd w:fill="FFFFFF" w:val="clear"/>
        </w:rPr>
        <w:t>Isótopos estables: Una herramienta común para la ecofisiología vegetal y animal.</w:t>
      </w:r>
      <w:r>
        <w:rPr>
          <w:rStyle w:val="style16"/>
          <w:rFonts w:ascii="Arial" w:cs="Arial" w:hAnsi="Arial"/>
          <w:color w:val="222222"/>
          <w:sz w:val="20"/>
          <w:szCs w:val="20"/>
          <w:shd w:fill="FFFFFF" w:val="clear"/>
        </w:rPr>
        <w:t xml:space="preserve"> En: </w:t>
      </w:r>
      <w:r>
        <w:rPr>
          <w:rFonts w:ascii="Arial" w:cs="Arial" w:hAnsi="Arial"/>
          <w:iCs/>
          <w:sz w:val="20"/>
          <w:szCs w:val="20"/>
          <w:shd w:fill="FFFFFF" w:val="clear"/>
        </w:rPr>
        <w:t>Marino, H. (Editor)</w:t>
      </w:r>
      <w:r>
        <w:rPr>
          <w:rFonts w:ascii="Arial" w:cs="Arial" w:hAnsi="Arial"/>
          <w:i/>
          <w:iCs/>
          <w:sz w:val="20"/>
          <w:szCs w:val="20"/>
          <w:shd w:fill="FFFFFF" w:val="clear"/>
        </w:rPr>
        <w:t xml:space="preserve"> Fisiología Ecológica en Plantas: Mecanismos y Respuestas a Estrés en los Ecosistemas, </w:t>
      </w:r>
      <w:r>
        <w:rPr>
          <w:rFonts w:ascii="Arial" w:cs="Arial" w:hAnsi="Arial"/>
          <w:iCs/>
          <w:sz w:val="20"/>
          <w:szCs w:val="20"/>
          <w:shd w:fill="FFFFFF" w:val="clear"/>
        </w:rPr>
        <w:t xml:space="preserve">pp. </w:t>
      </w:r>
      <w:r>
        <w:rPr>
          <w:rFonts w:ascii="Arial" w:cs="Arial" w:hAnsi="Arial"/>
          <w:sz w:val="20"/>
          <w:szCs w:val="20"/>
          <w:shd w:fill="FFFFFF" w:val="clear"/>
        </w:rPr>
        <w:t>59-80</w:t>
      </w:r>
      <w:r>
        <w:rPr>
          <w:rFonts w:ascii="Arial" w:cs="Arial" w:hAnsi="Arial"/>
          <w:i/>
          <w:iCs/>
          <w:sz w:val="20"/>
          <w:szCs w:val="20"/>
          <w:shd w:fill="FFFFFF" w:val="clear"/>
        </w:rPr>
        <w:t xml:space="preserve">. </w:t>
      </w:r>
      <w:r>
        <w:rPr>
          <w:rFonts w:ascii="Arial" w:cs="Arial" w:hAnsi="Arial"/>
          <w:iCs/>
          <w:sz w:val="20"/>
          <w:szCs w:val="20"/>
          <w:shd w:fill="FFFFFF" w:val="clear"/>
        </w:rPr>
        <w:t>Ediciones de la Universidad Católica de Valparaíso, Valparaíso, Chile</w:t>
      </w:r>
      <w:r>
        <w:rPr>
          <w:rFonts w:ascii="Arial" w:cs="Arial" w:hAnsi="Arial"/>
          <w:sz w:val="20"/>
          <w:szCs w:val="20"/>
          <w:shd w:fill="FFFFFF" w:val="clear"/>
        </w:rPr>
        <w:t>.</w:t>
      </w:r>
      <w:r>
        <w:rPr>
          <w:rFonts w:ascii="Arial" w:cs="Arial" w:hAnsi="Arial"/>
          <w:sz w:val="20"/>
          <w:szCs w:val="20"/>
        </w:rPr>
        <w:t xml:space="preserve"> </w:t>
      </w:r>
    </w:p>
    <w:p>
      <w:pPr>
        <w:pStyle w:val="style37"/>
      </w:pPr>
      <w:r>
        <w:rPr/>
      </w:r>
    </w:p>
    <w:p>
      <w:pPr>
        <w:pStyle w:val="style37"/>
      </w:pPr>
      <w:r>
        <w:rPr>
          <w:rFonts w:ascii="Arial" w:cs="Arial" w:hAnsi="Arial"/>
          <w:sz w:val="20"/>
          <w:szCs w:val="20"/>
        </w:rPr>
        <w:t xml:space="preserve">-  </w:t>
      </w:r>
      <w:bookmarkStart w:id="0" w:name="_ENREF_56"/>
      <w:r>
        <w:rPr>
          <w:rFonts w:ascii="Arial" w:cs="Arial" w:hAnsi="Arial"/>
          <w:sz w:val="20"/>
          <w:szCs w:val="20"/>
        </w:rPr>
        <w:t>Szpak, P., White, C. D., Longstaffe, F. J., Millaire, J.-F., y Sánchez, V. F. V. (2013) Carbon and Nitrogen Isotopic Survey of Northern Peruvian Plants: Baselines for Paleodietary and Paleoecological Studies. PloS one</w:t>
      </w:r>
      <w:bookmarkEnd w:id="0"/>
      <w:r>
        <w:rPr>
          <w:rFonts w:ascii="Arial" w:cs="Arial" w:hAnsi="Arial"/>
          <w:sz w:val="20"/>
          <w:szCs w:val="20"/>
          <w:lang w:val="es-ES"/>
        </w:rPr>
        <w:t xml:space="preserve"> 8(1): e53763.</w:t>
      </w:r>
    </w:p>
    <w:p>
      <w:pPr>
        <w:pStyle w:val="style37"/>
      </w:pPr>
      <w:r>
        <w:rPr/>
      </w:r>
    </w:p>
    <w:p>
      <w:pPr>
        <w:pStyle w:val="style37"/>
      </w:pPr>
      <w:r>
        <w:rPr>
          <w:rFonts w:ascii="Arial" w:cs="Arial" w:hAnsi="Arial"/>
          <w:b/>
          <w:sz w:val="20"/>
          <w:szCs w:val="20"/>
        </w:rPr>
        <w:t>UNIDAD 3. Isótopos de carbono y nitrógeno en el estudio de vertebrados modernos y fósiles</w:t>
      </w:r>
    </w:p>
    <w:p>
      <w:pPr>
        <w:pStyle w:val="style37"/>
      </w:pPr>
      <w:r>
        <w:rPr/>
      </w:r>
    </w:p>
    <w:p>
      <w:pPr>
        <w:pStyle w:val="style37"/>
      </w:pPr>
      <w:r>
        <w:rPr>
          <w:rFonts w:ascii="Arial" w:cs="Arial" w:hAnsi="Arial"/>
          <w:b/>
          <w:sz w:val="20"/>
          <w:szCs w:val="20"/>
        </w:rPr>
        <w:t xml:space="preserve">- </w:t>
      </w:r>
      <w:r>
        <w:rPr>
          <w:rFonts w:ascii="Arial" w:cs="Arial" w:hAnsi="Arial"/>
          <w:bCs/>
          <w:sz w:val="20"/>
          <w:szCs w:val="20"/>
        </w:rPr>
        <w:t>Fernández, J. y Panarello, H. O. (</w:t>
      </w:r>
      <w:r>
        <w:rPr>
          <w:rFonts w:ascii="Arial" w:cs="Arial" w:hAnsi="Arial"/>
          <w:sz w:val="20"/>
          <w:szCs w:val="20"/>
        </w:rPr>
        <w:t>1999-2001) Isótopos del carbono en la dieta de herbívoros y carnívoros de los andes jujeños</w:t>
      </w:r>
      <w:r>
        <w:rPr>
          <w:rFonts w:ascii="Arial" w:cs="Arial" w:hAnsi="Arial"/>
          <w:i/>
          <w:iCs/>
          <w:sz w:val="20"/>
          <w:szCs w:val="20"/>
        </w:rPr>
        <w:t xml:space="preserve"> Xama</w:t>
      </w:r>
      <w:r>
        <w:rPr>
          <w:rFonts w:ascii="Arial" w:cs="Arial" w:hAnsi="Arial"/>
          <w:sz w:val="20"/>
          <w:szCs w:val="20"/>
        </w:rPr>
        <w:t xml:space="preserve"> 12-14: 71-85.</w:t>
      </w:r>
    </w:p>
    <w:p>
      <w:pPr>
        <w:pStyle w:val="style37"/>
      </w:pPr>
      <w:r>
        <w:rPr/>
      </w:r>
    </w:p>
    <w:p>
      <w:pPr>
        <w:pStyle w:val="style37"/>
      </w:pPr>
      <w:r>
        <w:rPr>
          <w:rFonts w:ascii="Arial" w:cs="Arial" w:hAnsi="Arial"/>
          <w:sz w:val="20"/>
          <w:szCs w:val="20"/>
        </w:rPr>
        <w:t xml:space="preserve">- </w:t>
      </w:r>
      <w:r>
        <w:rPr>
          <w:rFonts w:ascii="Arial" w:cs="Arial" w:hAnsi="Arial"/>
          <w:sz w:val="20"/>
          <w:szCs w:val="20"/>
          <w:shd w:fill="FFFFFF" w:val="clear"/>
        </w:rPr>
        <w:t>Barberena, R., Gil, A., Neme, G., Zangrando, F., Politis, G., Borrero, L., y Prates, L. (2010) Ecología isotópica de guanaco (</w:t>
      </w:r>
      <w:r>
        <w:rPr>
          <w:rFonts w:ascii="Arial" w:cs="Arial" w:hAnsi="Arial"/>
          <w:i/>
          <w:sz w:val="20"/>
          <w:szCs w:val="20"/>
          <w:shd w:fill="FFFFFF" w:val="clear"/>
        </w:rPr>
        <w:t>Lama guanicoe</w:t>
      </w:r>
      <w:r>
        <w:rPr>
          <w:rFonts w:ascii="Arial" w:cs="Arial" w:hAnsi="Arial"/>
          <w:sz w:val="20"/>
          <w:szCs w:val="20"/>
          <w:shd w:fill="FFFFFF" w:val="clear"/>
        </w:rPr>
        <w:t xml:space="preserve">) en el sur de Sudamérica: tendencias espaciales, temporales e implicaciones arqueológicas. </w:t>
      </w:r>
      <w:r>
        <w:rPr>
          <w:rFonts w:ascii="Arial" w:cs="Arial" w:hAnsi="Arial"/>
          <w:i/>
          <w:iCs/>
          <w:sz w:val="20"/>
          <w:szCs w:val="20"/>
          <w:shd w:fill="FFFFFF" w:val="clear"/>
        </w:rPr>
        <w:t xml:space="preserve">Zooarqueología a principios del siglo XXI. Aspectos teóricos, metodológicos y casos de estudio. </w:t>
      </w:r>
      <w:r>
        <w:rPr>
          <w:rFonts w:ascii="Arial" w:cs="Arial" w:hAnsi="Arial"/>
          <w:iCs/>
          <w:sz w:val="20"/>
          <w:szCs w:val="20"/>
          <w:shd w:fill="FFFFFF" w:val="clear"/>
          <w:lang w:val="en-US"/>
        </w:rPr>
        <w:t>Ediciones del Espinillo, Buenos Aires</w:t>
      </w:r>
      <w:r>
        <w:rPr>
          <w:rFonts w:ascii="Arial" w:cs="Arial" w:hAnsi="Arial"/>
          <w:sz w:val="20"/>
          <w:szCs w:val="20"/>
          <w:shd w:fill="FFFFFF" w:val="clear"/>
          <w:lang w:val="en-US"/>
        </w:rPr>
        <w:t>, 345-357.</w:t>
      </w:r>
    </w:p>
    <w:p>
      <w:pPr>
        <w:pStyle w:val="style37"/>
      </w:pPr>
      <w:r>
        <w:rPr/>
      </w:r>
    </w:p>
    <w:p>
      <w:pPr>
        <w:pStyle w:val="style37"/>
      </w:pPr>
      <w:r>
        <w:rPr>
          <w:rFonts w:ascii="Arial" w:cs="Arial" w:hAnsi="Arial"/>
          <w:sz w:val="20"/>
          <w:szCs w:val="20"/>
          <w:shd w:fill="FFFFFF" w:val="clear"/>
          <w:lang w:val="en-US"/>
        </w:rPr>
        <w:t>- Samec, C. T., Morales, M. R., y Yacobaccio, H. D. (2014) Exploring Human Subsistence Strategies and Environmental Change through Stable Isotopes in the Dry Puna of Argentina.</w:t>
      </w:r>
      <w:r>
        <w:rPr>
          <w:rStyle w:val="style16"/>
          <w:rFonts w:ascii="Arial" w:cs="Arial" w:hAnsi="Arial"/>
          <w:color w:val="222222"/>
          <w:sz w:val="20"/>
          <w:szCs w:val="20"/>
          <w:shd w:fill="FFFFFF" w:val="clear"/>
          <w:lang w:val="en-US"/>
        </w:rPr>
        <w:t> </w:t>
      </w:r>
      <w:r>
        <w:rPr>
          <w:rFonts w:ascii="Arial" w:cs="Arial" w:hAnsi="Arial"/>
          <w:i/>
          <w:iCs/>
          <w:sz w:val="20"/>
          <w:szCs w:val="20"/>
          <w:shd w:fill="FFFFFF" w:val="clear"/>
          <w:lang w:val="es-ES"/>
        </w:rPr>
        <w:t>International Journal of Osteoarchaeology</w:t>
      </w:r>
      <w:r>
        <w:rPr>
          <w:rStyle w:val="style16"/>
          <w:rFonts w:ascii="Arial" w:cs="Arial" w:hAnsi="Arial"/>
          <w:color w:val="222222"/>
          <w:sz w:val="20"/>
          <w:szCs w:val="20"/>
          <w:shd w:fill="FFFFFF" w:val="clear"/>
          <w:lang w:val="es-ES"/>
        </w:rPr>
        <w:t> </w:t>
      </w:r>
      <w:r>
        <w:rPr>
          <w:rFonts w:ascii="Arial" w:cs="Arial" w:hAnsi="Arial"/>
          <w:i/>
          <w:iCs/>
          <w:sz w:val="20"/>
          <w:szCs w:val="20"/>
          <w:shd w:fill="FFFFFF" w:val="clear"/>
          <w:lang w:val="es-ES"/>
        </w:rPr>
        <w:t>24</w:t>
      </w:r>
      <w:r>
        <w:rPr>
          <w:rFonts w:ascii="Arial" w:cs="Arial" w:hAnsi="Arial"/>
          <w:sz w:val="20"/>
          <w:szCs w:val="20"/>
          <w:shd w:fill="FFFFFF" w:val="clear"/>
          <w:lang w:val="es-ES"/>
        </w:rPr>
        <w:t>(2): 134-148.</w:t>
      </w:r>
      <w:r>
        <w:rPr>
          <w:rFonts w:ascii="Arial" w:cs="Arial" w:hAnsi="Arial"/>
          <w:b/>
          <w:sz w:val="20"/>
          <w:szCs w:val="20"/>
          <w:lang w:val="es-ES"/>
        </w:rPr>
        <w:t xml:space="preserve"> </w:t>
      </w:r>
    </w:p>
    <w:p>
      <w:pPr>
        <w:pStyle w:val="style37"/>
      </w:pPr>
      <w:r>
        <w:rPr/>
      </w:r>
    </w:p>
    <w:p>
      <w:pPr>
        <w:pStyle w:val="style37"/>
      </w:pPr>
      <w:r>
        <w:rPr>
          <w:rFonts w:ascii="Arial" w:cs="Arial" w:hAnsi="Arial"/>
          <w:b/>
          <w:sz w:val="20"/>
          <w:szCs w:val="20"/>
        </w:rPr>
        <w:t>UNIDAD 4. Reconstrucción paleodietaria</w:t>
      </w:r>
    </w:p>
    <w:p>
      <w:pPr>
        <w:pStyle w:val="style37"/>
      </w:pPr>
      <w:r>
        <w:rPr/>
      </w:r>
    </w:p>
    <w:p>
      <w:pPr>
        <w:pStyle w:val="style37"/>
      </w:pPr>
      <w:r>
        <w:rPr/>
      </w:r>
    </w:p>
    <w:p>
      <w:pPr>
        <w:pStyle w:val="style37"/>
      </w:pPr>
      <w:r>
        <w:rPr/>
      </w:r>
    </w:p>
    <w:p>
      <w:pPr>
        <w:pStyle w:val="style37"/>
      </w:pPr>
      <w:r>
        <w:rPr>
          <w:rFonts w:ascii="Arial" w:cs="Arial" w:hAnsi="Arial"/>
          <w:sz w:val="20"/>
          <w:szCs w:val="20"/>
          <w:shd w:fill="FFFFFF" w:val="clear"/>
        </w:rPr>
        <w:t>-</w:t>
      </w:r>
      <w:r>
        <w:rPr>
          <w:rFonts w:ascii="Arial" w:cs="Arial" w:hAnsi="Arial"/>
          <w:i/>
          <w:iCs/>
          <w:sz w:val="20"/>
          <w:szCs w:val="20"/>
          <w:shd w:fill="FFFFFF" w:val="clear"/>
        </w:rPr>
        <w:t xml:space="preserve"> </w:t>
      </w:r>
      <w:r>
        <w:rPr>
          <w:rFonts w:ascii="Arial" w:cs="Arial" w:hAnsi="Arial"/>
          <w:iCs/>
          <w:sz w:val="20"/>
          <w:szCs w:val="20"/>
          <w:shd w:fill="FFFFFF" w:val="clear"/>
        </w:rPr>
        <w:t xml:space="preserve">Barberena, R., L’Heureux, G. L. y Borrero, L.A. (2004) Expandiendo el alcance de las reconstrucciones de subsistencia. Isótopos estables y conjuntos arqueofaunísticos. En: </w:t>
      </w:r>
      <w:r>
        <w:rPr>
          <w:rFonts w:ascii="Arial" w:cs="Arial" w:hAnsi="Arial"/>
          <w:i/>
          <w:iCs/>
          <w:sz w:val="20"/>
          <w:szCs w:val="20"/>
          <w:shd w:fill="FFFFFF" w:val="clear"/>
        </w:rPr>
        <w:t xml:space="preserve">Contra viento y marea. Arqueología de Patagonia, </w:t>
      </w:r>
      <w:r>
        <w:rPr>
          <w:rFonts w:ascii="Arial" w:cs="Arial" w:hAnsi="Arial"/>
          <w:iCs/>
          <w:sz w:val="20"/>
          <w:szCs w:val="20"/>
          <w:shd w:fill="FFFFFF" w:val="clear"/>
        </w:rPr>
        <w:t xml:space="preserve">pp. 417-433. </w:t>
      </w:r>
    </w:p>
    <w:p>
      <w:pPr>
        <w:pStyle w:val="style37"/>
      </w:pPr>
      <w:r>
        <w:rPr/>
      </w:r>
    </w:p>
    <w:p>
      <w:pPr>
        <w:pStyle w:val="style37"/>
      </w:pPr>
      <w:r>
        <w:rPr>
          <w:rFonts w:ascii="Arial" w:cs="Arial" w:hAnsi="Arial"/>
          <w:sz w:val="20"/>
          <w:szCs w:val="20"/>
          <w:shd w:fill="FFFFFF" w:val="clear"/>
        </w:rPr>
        <w:t xml:space="preserve">- </w:t>
      </w:r>
      <w:r>
        <w:rPr>
          <w:rFonts w:ascii="Arial" w:cs="Arial" w:hAnsi="Arial"/>
          <w:sz w:val="20"/>
          <w:szCs w:val="20"/>
        </w:rPr>
        <w:t xml:space="preserve">Wright, Lori E. (1995) La dieta antigua y la evolución social de los Mayas del río Pasión: una visión isotópica. En: Laporte, J.P. y Escobedo H. (Editores) </w:t>
      </w:r>
      <w:r>
        <w:rPr>
          <w:rFonts w:ascii="Arial" w:cs="Arial" w:hAnsi="Arial"/>
          <w:i/>
          <w:iCs/>
          <w:sz w:val="20"/>
          <w:szCs w:val="20"/>
        </w:rPr>
        <w:t xml:space="preserve">VIII Simposio de Investigaciones Arqueológicas en Guatemala, 1994, </w:t>
      </w:r>
      <w:r>
        <w:rPr>
          <w:rFonts w:ascii="Arial" w:cs="Arial" w:hAnsi="Arial"/>
          <w:sz w:val="20"/>
          <w:szCs w:val="20"/>
        </w:rPr>
        <w:t>pp.258-268. Museo Nacional de Arqueología y Etnología, Guatemala (versión digital).</w:t>
      </w:r>
    </w:p>
    <w:p>
      <w:pPr>
        <w:pStyle w:val="style37"/>
      </w:pPr>
      <w:r>
        <w:rPr/>
      </w:r>
    </w:p>
    <w:p>
      <w:pPr>
        <w:pStyle w:val="style37"/>
      </w:pPr>
      <w:r>
        <w:rPr>
          <w:rFonts w:ascii="Arial" w:cs="Arial" w:hAnsi="Arial"/>
          <w:sz w:val="20"/>
          <w:szCs w:val="20"/>
        </w:rPr>
        <w:t xml:space="preserve">- </w:t>
      </w:r>
      <w:r>
        <w:rPr>
          <w:rFonts w:ascii="Arial" w:cs="Arial" w:hAnsi="Arial"/>
          <w:sz w:val="20"/>
          <w:szCs w:val="20"/>
          <w:shd w:fill="FFFFFF" w:val="clear"/>
        </w:rPr>
        <w:t>Novellino, P., Gil, A., Neme, G., y Durán, V. (2004) El consumo de maíz en el Holoceno tardío del oeste argentino: isótopos estables y caries.</w:t>
      </w:r>
      <w:r>
        <w:rPr>
          <w:rStyle w:val="style16"/>
          <w:rFonts w:ascii="Arial" w:cs="Arial" w:hAnsi="Arial"/>
          <w:color w:val="222222"/>
          <w:sz w:val="20"/>
          <w:szCs w:val="20"/>
          <w:shd w:fill="FFFFFF" w:val="clear"/>
        </w:rPr>
        <w:t> </w:t>
      </w:r>
      <w:r>
        <w:rPr>
          <w:rFonts w:ascii="Arial" w:cs="Arial" w:hAnsi="Arial"/>
          <w:i/>
          <w:iCs/>
          <w:sz w:val="20"/>
          <w:szCs w:val="20"/>
          <w:shd w:fill="FFFFFF" w:val="clear"/>
        </w:rPr>
        <w:t>Revista Española de Antropología Americana</w:t>
      </w:r>
      <w:r>
        <w:rPr>
          <w:rStyle w:val="style16"/>
          <w:rFonts w:ascii="Arial" w:cs="Arial" w:hAnsi="Arial"/>
          <w:color w:val="222222"/>
          <w:sz w:val="20"/>
          <w:szCs w:val="20"/>
          <w:shd w:fill="FFFFFF" w:val="clear"/>
        </w:rPr>
        <w:t> </w:t>
      </w:r>
      <w:r>
        <w:rPr>
          <w:rFonts w:ascii="Arial" w:cs="Arial" w:hAnsi="Arial"/>
          <w:i/>
          <w:iCs/>
          <w:sz w:val="20"/>
          <w:szCs w:val="20"/>
          <w:shd w:fill="FFFFFF" w:val="clear"/>
        </w:rPr>
        <w:t>34:</w:t>
      </w:r>
      <w:r>
        <w:rPr>
          <w:rFonts w:ascii="Arial" w:cs="Arial" w:hAnsi="Arial"/>
          <w:sz w:val="20"/>
          <w:szCs w:val="20"/>
          <w:shd w:fill="FFFFFF" w:val="clear"/>
        </w:rPr>
        <w:t xml:space="preserve"> 85-110.</w:t>
      </w:r>
    </w:p>
    <w:p>
      <w:pPr>
        <w:pStyle w:val="style37"/>
      </w:pPr>
      <w:r>
        <w:rPr/>
      </w:r>
    </w:p>
    <w:p>
      <w:pPr>
        <w:pStyle w:val="style37"/>
      </w:pPr>
      <w:r>
        <w:rPr>
          <w:rFonts w:ascii="Arial" w:cs="Arial" w:hAnsi="Arial"/>
          <w:sz w:val="20"/>
          <w:szCs w:val="20"/>
        </w:rPr>
        <w:t xml:space="preserve">- </w:t>
      </w:r>
      <w:r>
        <w:rPr>
          <w:rFonts w:ascii="Arial" w:cs="Arial" w:hAnsi="Arial"/>
          <w:sz w:val="20"/>
          <w:szCs w:val="20"/>
          <w:shd w:fill="FFFFFF" w:val="clear"/>
        </w:rPr>
        <w:t>Falabella, F., Planella, M. T., Aspillaga, E., Sanhueza, L., y Tykot, R. H. (2007) Dieta en sociedades alfareras de Chile Central: Aporte de análisis de isótopos estables.</w:t>
      </w:r>
      <w:r>
        <w:rPr>
          <w:rStyle w:val="style16"/>
          <w:rFonts w:ascii="Arial" w:cs="Arial" w:hAnsi="Arial"/>
          <w:color w:val="222222"/>
          <w:sz w:val="20"/>
          <w:szCs w:val="20"/>
          <w:shd w:fill="FFFFFF" w:val="clear"/>
        </w:rPr>
        <w:t> </w:t>
      </w:r>
      <w:r>
        <w:rPr>
          <w:rFonts w:ascii="Arial" w:cs="Arial" w:hAnsi="Arial"/>
          <w:i/>
          <w:iCs/>
          <w:sz w:val="20"/>
          <w:szCs w:val="20"/>
          <w:shd w:fill="FFFFFF" w:val="clear"/>
        </w:rPr>
        <w:t>Chungará</w:t>
      </w:r>
      <w:r>
        <w:rPr>
          <w:rStyle w:val="style16"/>
          <w:rFonts w:ascii="Arial" w:cs="Arial" w:hAnsi="Arial"/>
          <w:color w:val="222222"/>
          <w:sz w:val="20"/>
          <w:szCs w:val="20"/>
          <w:shd w:fill="FFFFFF" w:val="clear"/>
        </w:rPr>
        <w:t> </w:t>
      </w:r>
      <w:r>
        <w:rPr>
          <w:rFonts w:ascii="Arial" w:cs="Arial" w:hAnsi="Arial"/>
          <w:iCs/>
          <w:sz w:val="20"/>
          <w:szCs w:val="20"/>
          <w:shd w:fill="FFFFFF" w:val="clear"/>
        </w:rPr>
        <w:t>39</w:t>
      </w:r>
      <w:r>
        <w:rPr>
          <w:rFonts w:ascii="Arial" w:cs="Arial" w:hAnsi="Arial"/>
          <w:sz w:val="20"/>
          <w:szCs w:val="20"/>
          <w:shd w:fill="FFFFFF" w:val="clear"/>
        </w:rPr>
        <w:t>(1): 5-27.</w:t>
      </w:r>
    </w:p>
    <w:p>
      <w:pPr>
        <w:pStyle w:val="style37"/>
      </w:pPr>
      <w:r>
        <w:rPr/>
      </w:r>
    </w:p>
    <w:p>
      <w:pPr>
        <w:pStyle w:val="style37"/>
      </w:pPr>
      <w:r>
        <w:rPr>
          <w:rFonts w:ascii="Arial" w:cs="Arial" w:hAnsi="Arial"/>
          <w:sz w:val="20"/>
          <w:szCs w:val="20"/>
          <w:shd w:fill="FFFFFF" w:val="clear"/>
        </w:rPr>
        <w:t xml:space="preserve">- García Guixé, E. (2008) </w:t>
      </w:r>
      <w:r>
        <w:rPr>
          <w:rFonts w:ascii="Arial" w:cs="Arial" w:hAnsi="Arial"/>
          <w:bCs/>
          <w:sz w:val="20"/>
          <w:szCs w:val="20"/>
          <w:shd w:fill="FFFFFF" w:val="clear"/>
        </w:rPr>
        <w:t xml:space="preserve">Aplicación de los análisis de isótopos estables en la reconstrucción de la dieta de poblaciones humanas antiguas (paleodietas). En: Alcorlo, P. </w:t>
      </w:r>
      <w:r>
        <w:rPr>
          <w:rFonts w:ascii="Arial" w:cs="Arial" w:hAnsi="Arial"/>
          <w:bCs/>
          <w:i/>
          <w:sz w:val="20"/>
          <w:szCs w:val="20"/>
          <w:shd w:fill="FFFFFF" w:val="clear"/>
        </w:rPr>
        <w:t>et al.</w:t>
      </w:r>
      <w:r>
        <w:rPr>
          <w:rFonts w:ascii="Arial" w:cs="Arial" w:hAnsi="Arial"/>
          <w:bCs/>
          <w:sz w:val="20"/>
          <w:szCs w:val="20"/>
          <w:shd w:fill="FFFFFF" w:val="clear"/>
        </w:rPr>
        <w:t xml:space="preserve"> (Editores) </w:t>
      </w:r>
      <w:r>
        <w:rPr>
          <w:rFonts w:ascii="Arial" w:cs="Arial" w:hAnsi="Arial"/>
          <w:bCs/>
          <w:i/>
          <w:sz w:val="20"/>
          <w:szCs w:val="20"/>
          <w:shd w:fill="FFFFFF" w:val="clear"/>
        </w:rPr>
        <w:t>Técnicas y aplicaciones multidisciplinares de los isótopos ambientales</w:t>
      </w:r>
      <w:r>
        <w:rPr>
          <w:rFonts w:ascii="Arial" w:cs="Arial" w:hAnsi="Arial"/>
          <w:bCs/>
          <w:sz w:val="20"/>
          <w:szCs w:val="20"/>
          <w:shd w:fill="FFFFFF" w:val="clear"/>
        </w:rPr>
        <w:t xml:space="preserve">, pp. 243-266. </w:t>
      </w:r>
      <w:r>
        <w:rPr>
          <w:rFonts w:ascii="Arial" w:cs="Arial" w:hAnsi="Arial"/>
          <w:sz w:val="20"/>
          <w:szCs w:val="20"/>
          <w:shd w:fill="FFFFFF" w:val="clear"/>
        </w:rPr>
        <w:t xml:space="preserve">Servicio de Publicaciones de la Universidad Autónoma de Madrid. </w:t>
      </w:r>
    </w:p>
    <w:p>
      <w:pPr>
        <w:pStyle w:val="style37"/>
      </w:pPr>
      <w:r>
        <w:rPr/>
      </w:r>
    </w:p>
    <w:p>
      <w:pPr>
        <w:pStyle w:val="style37"/>
      </w:pPr>
      <w:r>
        <w:rPr/>
      </w:r>
    </w:p>
    <w:p>
      <w:pPr>
        <w:pStyle w:val="style37"/>
      </w:pPr>
      <w:r>
        <w:rPr>
          <w:rFonts w:ascii="Arial" w:cs="Arial" w:hAnsi="Arial"/>
          <w:b/>
          <w:sz w:val="20"/>
          <w:szCs w:val="20"/>
        </w:rPr>
        <w:t>UNIDAD 5. Movilidad e información isotópica</w:t>
      </w:r>
    </w:p>
    <w:p>
      <w:pPr>
        <w:pStyle w:val="style37"/>
      </w:pPr>
      <w:r>
        <w:rPr/>
      </w:r>
    </w:p>
    <w:p>
      <w:pPr>
        <w:pStyle w:val="style37"/>
      </w:pPr>
      <w:r>
        <w:rPr>
          <w:rFonts w:ascii="Arial" w:cs="Arial" w:hAnsi="Arial"/>
          <w:b/>
          <w:sz w:val="20"/>
          <w:szCs w:val="20"/>
        </w:rPr>
        <w:t xml:space="preserve">- </w:t>
      </w:r>
      <w:r>
        <w:rPr>
          <w:rFonts w:ascii="Arial" w:cs="Arial" w:hAnsi="Arial"/>
          <w:iCs/>
          <w:sz w:val="20"/>
          <w:szCs w:val="20"/>
        </w:rPr>
        <w:t>Berón, M. A., Luna, L. H. y Barberena, R. (2013)</w:t>
      </w:r>
      <w:r>
        <w:rPr>
          <w:rFonts w:ascii="Arial" w:cs="Arial" w:hAnsi="Arial"/>
          <w:sz w:val="20"/>
          <w:szCs w:val="20"/>
        </w:rPr>
        <w:t xml:space="preserve"> Isótopos de oxígeno en restos humanos del sitio Chenque I: primeros resultados sobre procedencia geográfica de individuos. En: </w:t>
      </w:r>
      <w:r>
        <w:rPr>
          <w:rFonts w:ascii="Arial" w:cs="Arial" w:hAnsi="Arial"/>
          <w:i/>
          <w:sz w:val="20"/>
          <w:szCs w:val="20"/>
        </w:rPr>
        <w:t>Tendencias teórico-metodológicas y casos de estudio en la arqueología de la Patagonia</w:t>
      </w:r>
      <w:r>
        <w:rPr>
          <w:rFonts w:ascii="Arial" w:cs="Arial" w:hAnsi="Arial"/>
          <w:sz w:val="20"/>
          <w:szCs w:val="20"/>
        </w:rPr>
        <w:t>, pp. 27-38.</w:t>
      </w:r>
    </w:p>
    <w:p>
      <w:pPr>
        <w:pStyle w:val="style37"/>
      </w:pPr>
      <w:r>
        <w:rPr/>
      </w:r>
    </w:p>
    <w:p>
      <w:pPr>
        <w:pStyle w:val="style37"/>
      </w:pPr>
      <w:r>
        <w:rPr>
          <w:rFonts w:ascii="Arial" w:cs="Arial" w:hAnsi="Arial"/>
          <w:sz w:val="20"/>
          <w:szCs w:val="20"/>
          <w:shd w:fill="FFFFFF" w:val="clear"/>
          <w:lang w:val="es-ES"/>
        </w:rPr>
        <w:t xml:space="preserve">- Goepfert, N., Dufour, E., Gutiérrez, B., &amp; Chauchat, C. (2013) </w:t>
      </w:r>
      <w:r>
        <w:rPr>
          <w:rFonts w:ascii="Arial" w:cs="Arial" w:hAnsi="Arial"/>
          <w:sz w:val="20"/>
          <w:szCs w:val="20"/>
          <w:shd w:fill="FFFFFF" w:val="clear"/>
        </w:rPr>
        <w:t>Origen geográfico de camélidos en el periodo mochica (100–800 AD) y análisis isotópico secuencial del esmalte dentario: enfoque metodológico y aportes preliminares.</w:t>
      </w:r>
      <w:r>
        <w:rPr>
          <w:rStyle w:val="style16"/>
          <w:rFonts w:ascii="Arial" w:cs="Arial" w:hAnsi="Arial"/>
          <w:color w:val="222222"/>
          <w:sz w:val="20"/>
          <w:szCs w:val="20"/>
          <w:shd w:fill="FFFFFF" w:val="clear"/>
        </w:rPr>
        <w:t> </w:t>
      </w:r>
      <w:r>
        <w:rPr>
          <w:rFonts w:ascii="Arial" w:cs="Arial" w:hAnsi="Arial"/>
          <w:i/>
          <w:iCs/>
          <w:sz w:val="20"/>
          <w:szCs w:val="20"/>
          <w:shd w:fill="FFFFFF" w:val="clear"/>
          <w:lang w:val="es-ES"/>
        </w:rPr>
        <w:t>Bulletin de l’Institut Français d’Etudes Andines</w:t>
      </w:r>
      <w:r>
        <w:rPr>
          <w:rStyle w:val="style16"/>
          <w:rFonts w:ascii="Arial" w:cs="Arial" w:hAnsi="Arial"/>
          <w:color w:val="222222"/>
          <w:sz w:val="20"/>
          <w:szCs w:val="20"/>
          <w:shd w:fill="FFFFFF" w:val="clear"/>
          <w:lang w:val="es-ES"/>
        </w:rPr>
        <w:t> </w:t>
      </w:r>
      <w:r>
        <w:rPr>
          <w:rFonts w:ascii="Arial" w:cs="Arial" w:hAnsi="Arial"/>
          <w:i/>
          <w:iCs/>
          <w:sz w:val="20"/>
          <w:szCs w:val="20"/>
          <w:shd w:fill="FFFFFF" w:val="clear"/>
          <w:lang w:val="es-ES"/>
        </w:rPr>
        <w:t>42:</w:t>
      </w:r>
      <w:r>
        <w:rPr>
          <w:rFonts w:ascii="Arial" w:cs="Arial" w:hAnsi="Arial"/>
          <w:sz w:val="20"/>
          <w:szCs w:val="20"/>
          <w:shd w:fill="FFFFFF" w:val="clear"/>
          <w:lang w:val="es-ES"/>
        </w:rPr>
        <w:t xml:space="preserve"> 25-48.</w:t>
      </w:r>
      <w:r>
        <w:rPr>
          <w:rFonts w:ascii="Arial" w:cs="Arial" w:hAnsi="Arial"/>
          <w:sz w:val="20"/>
          <w:szCs w:val="20"/>
          <w:lang w:val="es-ES"/>
        </w:rPr>
        <w:t xml:space="preserve"> </w:t>
      </w:r>
    </w:p>
    <w:p>
      <w:pPr>
        <w:pStyle w:val="style37"/>
      </w:pPr>
      <w:r>
        <w:rPr/>
      </w:r>
    </w:p>
    <w:p>
      <w:pPr>
        <w:pStyle w:val="style37"/>
      </w:pPr>
      <w:r>
        <w:rPr>
          <w:rFonts w:ascii="Arial" w:cs="Arial" w:hAnsi="Arial"/>
          <w:sz w:val="20"/>
          <w:szCs w:val="20"/>
          <w:lang w:val="es-ES"/>
        </w:rPr>
        <w:t xml:space="preserve">- </w:t>
      </w:r>
      <w:r>
        <w:rPr>
          <w:rFonts w:ascii="Arial" w:cs="Arial" w:hAnsi="Arial"/>
          <w:sz w:val="20"/>
          <w:szCs w:val="20"/>
          <w:shd w:fill="FFFFFF" w:val="clear"/>
          <w:lang w:val="es-ES"/>
        </w:rPr>
        <w:t xml:space="preserve">Bethard, J. D., Gaither, C., Sánchez, V. F. V., Tham, T. E. R., &amp; Kent, J. D. (2008) </w:t>
      </w:r>
      <w:r>
        <w:rPr>
          <w:rFonts w:ascii="Arial" w:cs="Arial" w:hAnsi="Arial"/>
          <w:sz w:val="20"/>
          <w:szCs w:val="20"/>
          <w:shd w:fill="FFFFFF" w:val="clear"/>
        </w:rPr>
        <w:t>Isótopos estables, dieta y movilidad de los pobladores de un conjunto residencial en Santa Rita B, Valle de Chao, Peru.</w:t>
      </w:r>
      <w:r>
        <w:rPr>
          <w:rStyle w:val="style16"/>
          <w:rFonts w:ascii="Arial" w:cs="Arial" w:hAnsi="Arial"/>
          <w:color w:val="222222"/>
          <w:sz w:val="20"/>
          <w:szCs w:val="20"/>
          <w:shd w:fill="FFFFFF" w:val="clear"/>
        </w:rPr>
        <w:t> </w:t>
      </w:r>
      <w:r>
        <w:rPr>
          <w:rFonts w:ascii="Arial" w:cs="Arial" w:hAnsi="Arial"/>
          <w:i/>
          <w:iCs/>
          <w:sz w:val="20"/>
          <w:szCs w:val="20"/>
          <w:shd w:fill="FFFFFF" w:val="clear"/>
        </w:rPr>
        <w:t>Archaeobios</w:t>
      </w:r>
      <w:r>
        <w:rPr>
          <w:rFonts w:ascii="Arial" w:cs="Arial" w:hAnsi="Arial"/>
          <w:sz w:val="20"/>
          <w:szCs w:val="20"/>
          <w:shd w:fill="FFFFFF" w:val="clear"/>
        </w:rPr>
        <w:t xml:space="preserve"> 2: 3.</w:t>
      </w:r>
    </w:p>
    <w:p>
      <w:pPr>
        <w:pStyle w:val="style37"/>
      </w:pPr>
      <w:r>
        <w:rPr/>
      </w:r>
    </w:p>
    <w:p>
      <w:pPr>
        <w:pStyle w:val="style37"/>
      </w:pPr>
      <w:r>
        <w:rPr>
          <w:rFonts w:ascii="Arial" w:cs="Arial" w:hAnsi="Arial"/>
          <w:sz w:val="20"/>
          <w:szCs w:val="20"/>
          <w:shd w:fill="FFFFFF" w:val="clear"/>
        </w:rPr>
        <w:t>- Knudson, K. J. (2007) La influencia de Tiwanaku en San Pedro de Atacama: Una investigación utilizando el análisis de isótopos del estroncio</w:t>
      </w:r>
      <w:r>
        <w:rPr>
          <w:rFonts w:ascii="Arial" w:cs="Arial" w:eastAsia="Times-Roman" w:hAnsi="Arial"/>
          <w:sz w:val="20"/>
          <w:szCs w:val="20"/>
        </w:rPr>
        <w:t>.</w:t>
      </w:r>
      <w:r>
        <w:rPr>
          <w:rFonts w:ascii="Arial" w:cs="Arial" w:hAnsi="Arial"/>
          <w:sz w:val="20"/>
          <w:szCs w:val="20"/>
          <w:shd w:fill="FFFFFF" w:val="clear"/>
        </w:rPr>
        <w:t xml:space="preserve"> </w:t>
      </w:r>
      <w:r>
        <w:rPr>
          <w:rFonts w:ascii="Arial" w:cs="Arial" w:hAnsi="Arial"/>
          <w:i/>
          <w:sz w:val="20"/>
          <w:szCs w:val="20"/>
          <w:shd w:fill="FFFFFF" w:val="clear"/>
        </w:rPr>
        <w:t>Estudios Atacameños: Arqueología y Antropología Surandinas</w:t>
      </w:r>
      <w:r>
        <w:rPr>
          <w:rFonts w:ascii="Arial" w:cs="Arial" w:hAnsi="Arial"/>
          <w:sz w:val="20"/>
          <w:szCs w:val="20"/>
          <w:shd w:fill="FFFFFF" w:val="clear"/>
        </w:rPr>
        <w:t xml:space="preserve"> 33: 7-24.</w:t>
      </w:r>
    </w:p>
    <w:p>
      <w:pPr>
        <w:pStyle w:val="style37"/>
      </w:pPr>
      <w:r>
        <w:rPr/>
      </w:r>
    </w:p>
    <w:p>
      <w:pPr>
        <w:pStyle w:val="style37"/>
      </w:pPr>
      <w:r>
        <w:rPr>
          <w:rFonts w:ascii="Arial" w:cs="Arial" w:hAnsi="Arial"/>
          <w:b/>
          <w:sz w:val="20"/>
          <w:szCs w:val="20"/>
        </w:rPr>
        <w:t>UNIDAD 6. Protocolos de laboratorio y preparación de muestras para el análisis</w:t>
      </w:r>
    </w:p>
    <w:p>
      <w:pPr>
        <w:pStyle w:val="style37"/>
      </w:pPr>
      <w:r>
        <w:rPr/>
      </w:r>
    </w:p>
    <w:p>
      <w:pPr>
        <w:pStyle w:val="style37"/>
      </w:pPr>
      <w:r>
        <w:rPr>
          <w:rFonts w:ascii="Arial" w:cs="Arial" w:hAnsi="Arial"/>
          <w:b/>
          <w:sz w:val="20"/>
          <w:szCs w:val="20"/>
        </w:rPr>
        <w:t xml:space="preserve">- </w:t>
      </w:r>
      <w:r>
        <w:rPr>
          <w:rFonts w:ascii="Arial" w:cs="Arial" w:hAnsi="Arial"/>
          <w:sz w:val="20"/>
          <w:szCs w:val="20"/>
        </w:rPr>
        <w:t>T</w:t>
      </w:r>
      <w:r>
        <w:rPr>
          <w:rFonts w:ascii="Arial" w:cs="Arial" w:hAnsi="Arial"/>
          <w:sz w:val="20"/>
          <w:szCs w:val="20"/>
          <w:lang w:eastAsia="es-ES"/>
        </w:rPr>
        <w:t>ornero, C. y Saña M. (2008) C</w:t>
      </w:r>
      <w:r>
        <w:rPr>
          <w:rFonts w:ascii="Arial" w:cs="Arial" w:hAnsi="Arial"/>
          <w:bCs/>
          <w:sz w:val="20"/>
          <w:szCs w:val="20"/>
        </w:rPr>
        <w:t>onsideraciones metodológicas y técnicas sobre la obtención de muestras en restos dentarios de ungulados para la medición isotópica. Ejemplos de Tell Halula 7700 - 7000 cal ane (valle medio del Éufrates, Siria) En: VII CIA – S1: Biomateriales, pp. 108-120.</w:t>
      </w:r>
    </w:p>
    <w:p>
      <w:pPr>
        <w:pStyle w:val="style37"/>
      </w:pPr>
      <w:r>
        <w:rPr/>
      </w:r>
    </w:p>
    <w:p>
      <w:pPr>
        <w:pStyle w:val="style37"/>
      </w:pPr>
      <w:r>
        <w:rPr>
          <w:rFonts w:ascii="Arial" w:cs="Arial" w:hAnsi="Arial"/>
          <w:bCs/>
          <w:sz w:val="20"/>
          <w:szCs w:val="20"/>
        </w:rPr>
        <w:t xml:space="preserve">- </w:t>
      </w:r>
      <w:r>
        <w:rPr>
          <w:rFonts w:ascii="Arial" w:cs="Arial" w:hAnsi="Arial"/>
          <w:sz w:val="20"/>
          <w:szCs w:val="20"/>
          <w:lang w:eastAsia="es-ES"/>
        </w:rPr>
        <w:t xml:space="preserve">Tessone, A. (2010). </w:t>
      </w:r>
      <w:r>
        <w:rPr>
          <w:rFonts w:ascii="Arial" w:cs="Arial" w:hAnsi="Arial"/>
          <w:i/>
          <w:sz w:val="20"/>
          <w:szCs w:val="20"/>
          <w:lang w:eastAsia="es-ES"/>
        </w:rPr>
        <w:t>Arqueología y Ecología Isotópica. Estudio de isótopos estables de restos humanos del Holoceno tardío en Patagonia meridional</w:t>
      </w:r>
      <w:r>
        <w:rPr>
          <w:rFonts w:ascii="Arial" w:cs="Arial" w:hAnsi="Arial"/>
          <w:sz w:val="20"/>
          <w:szCs w:val="20"/>
          <w:lang w:eastAsia="es-ES"/>
        </w:rPr>
        <w:t>. Tesis Doctoral, Facultad de Filosofía y Letras, UBA. MS.</w:t>
      </w:r>
    </w:p>
    <w:p>
      <w:pPr>
        <w:pStyle w:val="style37"/>
      </w:pPr>
      <w:r>
        <w:rPr/>
      </w:r>
    </w:p>
    <w:p>
      <w:pPr>
        <w:pStyle w:val="style37"/>
      </w:pPr>
      <w:r>
        <w:rPr>
          <w:rFonts w:ascii="Arial" w:cs="Arial" w:hAnsi="Arial"/>
          <w:sz w:val="20"/>
          <w:szCs w:val="20"/>
          <w:lang w:eastAsia="es-ES"/>
        </w:rPr>
        <w:t xml:space="preserve">- van Klinken, G. J. (1999) </w:t>
      </w:r>
      <w:r>
        <w:rPr>
          <w:rFonts w:ascii="Arial" w:cs="Arial" w:hAnsi="Arial"/>
          <w:bCs/>
          <w:sz w:val="20"/>
          <w:szCs w:val="20"/>
          <w:lang w:eastAsia="es-ES"/>
        </w:rPr>
        <w:t xml:space="preserve">Bone Collagen Quality Indicators for Palaeodietary and Radiocarbon Measurements. </w:t>
      </w:r>
      <w:r>
        <w:rPr>
          <w:rFonts w:ascii="Arial" w:cs="Arial" w:hAnsi="Arial"/>
          <w:i/>
          <w:iCs/>
          <w:sz w:val="20"/>
          <w:szCs w:val="20"/>
          <w:lang w:eastAsia="es-ES" w:val="es-ES"/>
        </w:rPr>
        <w:t xml:space="preserve">Journal of Archaeological Science </w:t>
      </w:r>
      <w:r>
        <w:rPr>
          <w:rFonts w:ascii="Arial" w:cs="Arial" w:hAnsi="Arial"/>
          <w:bCs/>
          <w:sz w:val="20"/>
          <w:szCs w:val="20"/>
          <w:lang w:eastAsia="es-ES" w:val="es-ES"/>
        </w:rPr>
        <w:t xml:space="preserve">26: </w:t>
      </w:r>
      <w:r>
        <w:rPr>
          <w:rFonts w:ascii="Arial" w:cs="Arial" w:hAnsi="Arial"/>
          <w:sz w:val="20"/>
          <w:szCs w:val="20"/>
          <w:lang w:eastAsia="es-ES" w:val="es-ES"/>
        </w:rPr>
        <w:t>687–695</w:t>
      </w:r>
    </w:p>
    <w:p>
      <w:pPr>
        <w:pStyle w:val="style37"/>
      </w:pPr>
      <w:r>
        <w:rPr/>
      </w:r>
    </w:p>
    <w:p>
      <w:pPr>
        <w:pStyle w:val="style37"/>
      </w:pPr>
      <w:r>
        <w:rPr/>
      </w:r>
    </w:p>
    <w:p>
      <w:pPr>
        <w:pStyle w:val="style37"/>
      </w:pPr>
      <w:r>
        <w:rPr>
          <w:rFonts w:ascii="Arial" w:cs="Arial" w:hAnsi="Arial"/>
          <w:b/>
          <w:sz w:val="20"/>
          <w:szCs w:val="20"/>
        </w:rPr>
        <w:t>UNIDAD 7. Interpretación y publicación de los datos</w:t>
      </w:r>
    </w:p>
    <w:p>
      <w:pPr>
        <w:pStyle w:val="style37"/>
      </w:pPr>
      <w:r>
        <w:rPr/>
      </w:r>
    </w:p>
    <w:p>
      <w:pPr>
        <w:pStyle w:val="style37"/>
      </w:pPr>
      <w:r>
        <w:rPr>
          <w:rFonts w:ascii="Arial" w:cs="Arial" w:hAnsi="Arial"/>
          <w:i/>
          <w:iCs/>
          <w:sz w:val="20"/>
          <w:szCs w:val="20"/>
          <w:lang w:eastAsia="es-ES"/>
        </w:rPr>
        <w:t xml:space="preserve">- </w:t>
      </w:r>
      <w:r>
        <w:rPr>
          <w:rFonts w:ascii="Arial" w:cs="Arial" w:hAnsi="Arial"/>
          <w:iCs/>
          <w:sz w:val="20"/>
          <w:szCs w:val="20"/>
          <w:lang w:eastAsia="es-ES"/>
        </w:rPr>
        <w:t>Salazar-García, D.C., Benítez de Lugo Enrich, L.B., Álvarez García, H.J. y Benito Sánchez, M. (2013) Estudio diacrónico de la dieta de los pobladores antiguos de Terrinches (Ciudad Real) a partir del análisis de isótopos estables sobre restos óseos humanos.</w:t>
      </w:r>
      <w:r>
        <w:rPr>
          <w:rFonts w:ascii="Arial" w:cs="Arial" w:hAnsi="Arial"/>
          <w:i/>
          <w:iCs/>
          <w:sz w:val="20"/>
          <w:szCs w:val="20"/>
          <w:lang w:eastAsia="es-ES"/>
        </w:rPr>
        <w:t xml:space="preserve"> Revista Española de Antropología Física</w:t>
      </w:r>
      <w:r>
        <w:rPr>
          <w:rFonts w:ascii="Arial" w:cs="Arial" w:hAnsi="Arial"/>
          <w:sz w:val="20"/>
          <w:szCs w:val="20"/>
          <w:lang w:eastAsia="es-ES"/>
        </w:rPr>
        <w:t xml:space="preserve"> 34: 6-14.</w:t>
      </w:r>
    </w:p>
    <w:p>
      <w:pPr>
        <w:pStyle w:val="style37"/>
      </w:pPr>
      <w:r>
        <w:rPr/>
      </w:r>
    </w:p>
    <w:p>
      <w:pPr>
        <w:pStyle w:val="style37"/>
      </w:pPr>
      <w:r>
        <w:rPr>
          <w:rFonts w:ascii="Arial" w:cs="Arial" w:hAnsi="Arial"/>
          <w:sz w:val="20"/>
          <w:szCs w:val="20"/>
        </w:rPr>
        <w:t xml:space="preserve">- Bond, A.L. y Hobson, K.A. (2012) Reporting stable-isotope ratios in ecology: recommended terminology, guidelines and best practices. </w:t>
      </w:r>
      <w:r>
        <w:rPr>
          <w:rFonts w:ascii="Arial" w:cs="Arial" w:hAnsi="Arial"/>
          <w:i/>
          <w:sz w:val="20"/>
          <w:szCs w:val="20"/>
          <w:lang w:val="en-US"/>
        </w:rPr>
        <w:t>Waterbirds</w:t>
      </w:r>
      <w:r>
        <w:rPr>
          <w:rFonts w:ascii="Arial" w:cs="Arial" w:hAnsi="Arial"/>
          <w:sz w:val="20"/>
          <w:szCs w:val="20"/>
          <w:lang w:val="en-US"/>
        </w:rPr>
        <w:t xml:space="preserve"> 35: 324–331.</w:t>
      </w:r>
    </w:p>
    <w:p>
      <w:pPr>
        <w:pStyle w:val="style37"/>
      </w:pPr>
      <w:r>
        <w:rPr/>
      </w:r>
    </w:p>
    <w:p>
      <w:pPr>
        <w:pStyle w:val="style37"/>
      </w:pPr>
      <w:r>
        <w:rPr>
          <w:rFonts w:ascii="Arial" w:cs="Arial" w:hAnsi="Arial"/>
          <w:sz w:val="20"/>
          <w:szCs w:val="20"/>
          <w:lang w:val="en-US"/>
        </w:rPr>
        <w:t xml:space="preserve">- Phillips, D.L. y Gregg, J.W. (2001) Uncertainty in source partitioning using stable isotopes. </w:t>
      </w:r>
      <w:r>
        <w:rPr>
          <w:rFonts w:ascii="Arial" w:cs="Arial" w:hAnsi="Arial"/>
          <w:i/>
          <w:sz w:val="20"/>
          <w:szCs w:val="20"/>
          <w:lang w:val="en-US"/>
        </w:rPr>
        <w:t>Oecologia</w:t>
      </w:r>
      <w:r>
        <w:rPr>
          <w:rFonts w:ascii="Arial" w:cs="Arial" w:hAnsi="Arial"/>
          <w:sz w:val="20"/>
          <w:szCs w:val="20"/>
          <w:lang w:val="en-US"/>
        </w:rPr>
        <w:t xml:space="preserve"> 127: 171-179.</w:t>
      </w:r>
    </w:p>
    <w:p>
      <w:pPr>
        <w:pStyle w:val="style37"/>
      </w:pPr>
      <w:r>
        <w:rPr/>
      </w:r>
    </w:p>
    <w:p>
      <w:pPr>
        <w:pStyle w:val="style37"/>
      </w:pPr>
      <w:r>
        <w:rPr/>
      </w:r>
    </w:p>
    <w:p>
      <w:pPr>
        <w:pStyle w:val="style37"/>
      </w:pPr>
      <w:r>
        <w:rPr/>
      </w:r>
    </w:p>
    <w:p>
      <w:pPr>
        <w:pStyle w:val="style37"/>
      </w:pPr>
      <w:r>
        <w:rPr>
          <w:rFonts w:ascii="Arial" w:cs="Arial" w:hAnsi="Arial"/>
          <w:b/>
          <w:sz w:val="20"/>
          <w:szCs w:val="20"/>
          <w:lang w:val="en-US"/>
        </w:rPr>
        <w:t>BIBLIOGRAFÍA OPTATIVA</w:t>
      </w:r>
    </w:p>
    <w:p>
      <w:pPr>
        <w:pStyle w:val="style37"/>
      </w:pPr>
      <w:r>
        <w:rPr/>
      </w:r>
    </w:p>
    <w:p>
      <w:pPr>
        <w:pStyle w:val="style37"/>
      </w:pPr>
      <w:r>
        <w:rPr>
          <w:rFonts w:ascii="Arial" w:cs="Arial" w:hAnsi="Arial"/>
          <w:b/>
          <w:sz w:val="20"/>
          <w:szCs w:val="20"/>
          <w:lang w:val="en-US"/>
        </w:rPr>
        <w:t xml:space="preserve">- </w:t>
      </w:r>
      <w:r>
        <w:rPr>
          <w:rFonts w:ascii="Arial" w:cs="Arial" w:hAnsi="Arial"/>
          <w:sz w:val="20"/>
          <w:szCs w:val="20"/>
          <w:lang w:val="en-US"/>
        </w:rPr>
        <w:t xml:space="preserve">Ambrose, S. H. (1990) Preparation and Characterization of Bone and Tooth Collagen for Isotopic Analysis. </w:t>
      </w:r>
      <w:r>
        <w:rPr>
          <w:rFonts w:ascii="Arial" w:cs="Arial" w:hAnsi="Arial"/>
          <w:i/>
          <w:sz w:val="20"/>
          <w:szCs w:val="20"/>
          <w:lang w:val="en-US"/>
        </w:rPr>
        <w:t>Journal of Archaeological Science</w:t>
      </w:r>
      <w:r>
        <w:rPr>
          <w:rFonts w:ascii="Arial" w:cs="Arial" w:hAnsi="Arial"/>
          <w:sz w:val="20"/>
          <w:szCs w:val="20"/>
          <w:lang w:val="en-US"/>
        </w:rPr>
        <w:t xml:space="preserve"> 17: 431-451</w:t>
      </w:r>
    </w:p>
    <w:p>
      <w:pPr>
        <w:pStyle w:val="style37"/>
      </w:pPr>
      <w:r>
        <w:rPr/>
      </w:r>
    </w:p>
    <w:p>
      <w:pPr>
        <w:pStyle w:val="style37"/>
      </w:pPr>
      <w:r>
        <w:rPr>
          <w:rFonts w:ascii="Arial" w:cs="Arial" w:hAnsi="Arial"/>
          <w:bCs/>
          <w:color w:val="000000"/>
          <w:sz w:val="20"/>
          <w:szCs w:val="20"/>
          <w:lang w:val="en-US"/>
        </w:rPr>
        <w:t>- Ambrose</w:t>
      </w:r>
      <w:r>
        <w:rPr>
          <w:rFonts w:ascii="Arial" w:cs="Arial" w:hAnsi="Arial"/>
          <w:bCs/>
          <w:caps/>
          <w:color w:val="000000"/>
          <w:sz w:val="20"/>
          <w:szCs w:val="20"/>
          <w:lang w:val="en-US"/>
        </w:rPr>
        <w:t>, S. H.</w:t>
      </w:r>
      <w:r>
        <w:rPr>
          <w:rFonts w:ascii="Arial" w:cs="Arial" w:hAnsi="Arial"/>
          <w:bCs/>
          <w:color w:val="000000"/>
          <w:sz w:val="20"/>
          <w:szCs w:val="20"/>
          <w:lang w:val="en-US"/>
        </w:rPr>
        <w:t xml:space="preserve"> (</w:t>
      </w:r>
      <w:r>
        <w:rPr>
          <w:rFonts w:ascii="Arial" w:cs="Arial" w:hAnsi="Arial"/>
          <w:color w:val="000000"/>
          <w:sz w:val="20"/>
          <w:szCs w:val="20"/>
          <w:lang w:val="en-US"/>
        </w:rPr>
        <w:t xml:space="preserve">1993) </w:t>
      </w:r>
      <w:r>
        <w:rPr>
          <w:rFonts w:ascii="Arial" w:cs="Arial" w:hAnsi="Arial"/>
          <w:color w:val="000000"/>
          <w:sz w:val="20"/>
          <w:szCs w:val="20"/>
          <w:lang w:val="en-GB"/>
        </w:rPr>
        <w:t>Isotopic analysis of paleodiets: Methodological and interpretive conside</w:t>
      </w:r>
      <w:r>
        <w:rPr>
          <w:rFonts w:ascii="Arial" w:cs="Arial" w:hAnsi="Arial"/>
          <w:color w:val="000000"/>
          <w:sz w:val="20"/>
          <w:szCs w:val="20"/>
          <w:lang w:val="en-US"/>
        </w:rPr>
        <w:t xml:space="preserve">rations. En: </w:t>
      </w:r>
      <w:r>
        <w:rPr>
          <w:rFonts w:ascii="Arial" w:cs="Arial" w:hAnsi="Arial"/>
          <w:color w:val="000000"/>
          <w:sz w:val="20"/>
          <w:szCs w:val="20"/>
          <w:lang w:val="en-GB"/>
        </w:rPr>
        <w:t>Sandford,</w:t>
      </w:r>
      <w:r>
        <w:rPr>
          <w:rFonts w:ascii="Arial" w:cs="Arial" w:hAnsi="Arial"/>
          <w:i/>
          <w:iCs/>
          <w:color w:val="000000"/>
          <w:sz w:val="20"/>
          <w:szCs w:val="20"/>
          <w:lang w:val="en-US"/>
        </w:rPr>
        <w:t xml:space="preserve"> </w:t>
      </w:r>
      <w:r>
        <w:rPr>
          <w:rFonts w:ascii="Arial" w:cs="Arial" w:hAnsi="Arial"/>
          <w:color w:val="000000"/>
          <w:sz w:val="20"/>
          <w:szCs w:val="20"/>
          <w:lang w:val="en-GB"/>
        </w:rPr>
        <w:t xml:space="preserve">M. K. </w:t>
      </w:r>
      <w:r>
        <w:rPr>
          <w:rFonts w:ascii="Arial" w:cs="Arial" w:hAnsi="Arial"/>
          <w:color w:val="000000"/>
          <w:sz w:val="20"/>
          <w:szCs w:val="20"/>
          <w:lang w:val="en-US"/>
        </w:rPr>
        <w:t>(Editor),</w:t>
      </w:r>
      <w:r>
        <w:rPr>
          <w:rFonts w:ascii="Arial" w:cs="Arial" w:hAnsi="Arial"/>
          <w:i/>
          <w:iCs/>
          <w:color w:val="000000"/>
          <w:sz w:val="20"/>
          <w:szCs w:val="20"/>
          <w:lang w:val="en-US"/>
        </w:rPr>
        <w:t xml:space="preserve"> Investigations of ancient human tissue. Chemical analysis in anthropology, </w:t>
      </w:r>
      <w:r>
        <w:rPr>
          <w:rFonts w:ascii="Arial" w:cs="Arial" w:hAnsi="Arial"/>
          <w:color w:val="000000"/>
          <w:sz w:val="20"/>
          <w:szCs w:val="20"/>
          <w:lang w:val="en-GB"/>
        </w:rPr>
        <w:t xml:space="preserve">pp. 59-130. </w:t>
      </w:r>
      <w:r>
        <w:rPr>
          <w:rFonts w:ascii="Arial" w:cs="Arial" w:hAnsi="Arial"/>
          <w:color w:val="000000"/>
          <w:sz w:val="20"/>
          <w:szCs w:val="20"/>
          <w:lang w:val="en-US"/>
        </w:rPr>
        <w:t xml:space="preserve">Pensylvania, Gordon and Breach Science Publishers. </w:t>
      </w:r>
    </w:p>
    <w:p>
      <w:pPr>
        <w:pStyle w:val="style37"/>
      </w:pPr>
      <w:r>
        <w:rPr/>
      </w:r>
    </w:p>
    <w:p>
      <w:pPr>
        <w:pStyle w:val="style37"/>
      </w:pPr>
      <w:r>
        <w:rPr>
          <w:rFonts w:ascii="Arial" w:cs="Arial" w:hAnsi="Arial"/>
          <w:color w:val="000000"/>
          <w:sz w:val="20"/>
          <w:szCs w:val="20"/>
          <w:lang w:val="en-US"/>
        </w:rPr>
        <w:t>- Ambrose, S.H. y Norr, L. (1993) Experimental evidence for the relationship of the carbon isotope ratios of whole diet and dietary protein to those of bone collagen and carbonate. En: Lambert, J.B.</w:t>
      </w:r>
    </w:p>
    <w:p>
      <w:pPr>
        <w:pStyle w:val="style37"/>
      </w:pPr>
      <w:r>
        <w:rPr>
          <w:rFonts w:ascii="Arial" w:cs="Arial" w:hAnsi="Arial"/>
          <w:color w:val="000000"/>
          <w:sz w:val="20"/>
          <w:szCs w:val="20"/>
          <w:lang w:val="en-US"/>
        </w:rPr>
        <w:t xml:space="preserve">y Gruppe, G. (Editores). </w:t>
      </w:r>
      <w:r>
        <w:rPr>
          <w:rFonts w:ascii="Arial" w:cs="Arial" w:hAnsi="Arial"/>
          <w:i/>
          <w:color w:val="000000"/>
          <w:sz w:val="20"/>
          <w:szCs w:val="20"/>
          <w:lang w:val="en-US"/>
        </w:rPr>
        <w:t>Prehistoric Human Bone: Archaeology at the Molecular Level</w:t>
      </w:r>
      <w:r>
        <w:rPr>
          <w:rFonts w:ascii="Arial" w:cs="Arial" w:hAnsi="Arial"/>
          <w:color w:val="000000"/>
          <w:sz w:val="20"/>
          <w:szCs w:val="20"/>
          <w:lang w:val="en-US"/>
        </w:rPr>
        <w:t>, pp. 1-37. Springer-Verlag. Nueva York.</w:t>
      </w:r>
    </w:p>
    <w:p>
      <w:pPr>
        <w:pStyle w:val="style37"/>
      </w:pPr>
      <w:r>
        <w:rPr/>
      </w:r>
    </w:p>
    <w:p>
      <w:pPr>
        <w:pStyle w:val="style37"/>
      </w:pPr>
      <w:r>
        <w:rPr>
          <w:rFonts w:ascii="Arial" w:cs="Arial" w:hAnsi="Arial"/>
          <w:sz w:val="20"/>
          <w:szCs w:val="20"/>
          <w:shd w:fill="FFFFFF" w:val="clear"/>
          <w:lang w:val="en-US"/>
        </w:rPr>
        <w:t>- Bocherens, H. y Drucker, D. (2003) Trophic level isotopic enrichment of carbon and nitrogen in bone collagen: case studies from recent and ancient terrestrial ecosystems.</w:t>
      </w:r>
      <w:r>
        <w:rPr>
          <w:rFonts w:ascii="Arial" w:cs="Arial" w:hAnsi="Arial"/>
          <w:sz w:val="20"/>
          <w:szCs w:val="20"/>
          <w:lang w:val="en-US"/>
        </w:rPr>
        <w:t> </w:t>
      </w:r>
      <w:r>
        <w:rPr>
          <w:rFonts w:ascii="Arial" w:cs="Arial" w:hAnsi="Arial"/>
          <w:i/>
          <w:iCs/>
          <w:sz w:val="20"/>
          <w:szCs w:val="20"/>
          <w:shd w:fill="FFFFFF" w:val="clear"/>
          <w:lang w:val="en-US"/>
        </w:rPr>
        <w:t>International Journal of Osteoarchaeology</w:t>
      </w:r>
      <w:r>
        <w:rPr>
          <w:rFonts w:ascii="Arial" w:cs="Arial" w:hAnsi="Arial"/>
          <w:sz w:val="20"/>
          <w:szCs w:val="20"/>
          <w:lang w:val="en-US"/>
        </w:rPr>
        <w:t> </w:t>
      </w:r>
      <w:r>
        <w:rPr>
          <w:rFonts w:ascii="Arial" w:cs="Arial" w:hAnsi="Arial"/>
          <w:sz w:val="20"/>
          <w:szCs w:val="20"/>
          <w:shd w:fill="FFFFFF" w:val="clear"/>
          <w:lang w:val="en-US"/>
        </w:rPr>
        <w:t>13: 46-53.</w:t>
      </w:r>
    </w:p>
    <w:p>
      <w:pPr>
        <w:pStyle w:val="style37"/>
      </w:pPr>
      <w:r>
        <w:rPr/>
      </w:r>
    </w:p>
    <w:p>
      <w:pPr>
        <w:pStyle w:val="style37"/>
      </w:pPr>
      <w:r>
        <w:rPr>
          <w:rFonts w:ascii="Arial" w:cs="Arial" w:hAnsi="Arial"/>
          <w:sz w:val="20"/>
          <w:szCs w:val="20"/>
          <w:shd w:fill="FFFFFF" w:val="clear"/>
          <w:lang w:val="en-US"/>
        </w:rPr>
        <w:t>- Ehleringer, J. R., y Rundel, P. W. (1989) Stable isotopes: history, units, and instrumentation. En:</w:t>
      </w:r>
      <w:r>
        <w:rPr>
          <w:rFonts w:ascii="Arial" w:cs="Arial" w:hAnsi="Arial"/>
          <w:sz w:val="20"/>
          <w:szCs w:val="20"/>
          <w:lang w:val="en-US"/>
        </w:rPr>
        <w:t> </w:t>
      </w:r>
      <w:r>
        <w:rPr>
          <w:rFonts w:ascii="Arial" w:cs="Arial" w:hAnsi="Arial"/>
          <w:i/>
          <w:iCs/>
          <w:sz w:val="20"/>
          <w:szCs w:val="20"/>
          <w:shd w:fill="FFFFFF" w:val="clear"/>
          <w:lang w:val="en-US"/>
        </w:rPr>
        <w:t>Stable isotopes in ecological research,</w:t>
      </w:r>
      <w:r>
        <w:rPr>
          <w:rFonts w:ascii="Arial" w:cs="Arial" w:hAnsi="Arial"/>
          <w:sz w:val="20"/>
          <w:szCs w:val="20"/>
          <w:lang w:val="en-US"/>
        </w:rPr>
        <w:t> </w:t>
      </w:r>
      <w:r>
        <w:rPr>
          <w:rFonts w:ascii="Arial" w:cs="Arial" w:hAnsi="Arial"/>
          <w:sz w:val="20"/>
          <w:szCs w:val="20"/>
          <w:shd w:fill="FFFFFF" w:val="clear"/>
          <w:lang w:val="en-US"/>
        </w:rPr>
        <w:t>pp. 1-15. Springer, New York.</w:t>
      </w:r>
    </w:p>
    <w:p>
      <w:pPr>
        <w:pStyle w:val="style37"/>
      </w:pPr>
      <w:r>
        <w:rPr/>
      </w:r>
    </w:p>
    <w:p>
      <w:pPr>
        <w:pStyle w:val="style37"/>
      </w:pPr>
      <w:r>
        <w:rPr>
          <w:rFonts w:ascii="Arial" w:cs="Arial" w:hAnsi="Arial"/>
          <w:sz w:val="20"/>
          <w:szCs w:val="20"/>
          <w:shd w:fill="FFFFFF" w:val="clear"/>
          <w:lang w:val="en-US"/>
        </w:rPr>
        <w:t xml:space="preserve">- Fry, B. (2006) </w:t>
      </w:r>
      <w:r>
        <w:rPr>
          <w:rFonts w:ascii="Arial" w:cs="Arial" w:hAnsi="Arial"/>
          <w:i/>
          <w:sz w:val="20"/>
          <w:szCs w:val="20"/>
          <w:shd w:fill="FFFFFF" w:val="clear"/>
          <w:lang w:val="en-US"/>
        </w:rPr>
        <w:t>Stable Isotope Ecology</w:t>
      </w:r>
      <w:r>
        <w:rPr>
          <w:rFonts w:ascii="Arial" w:cs="Arial" w:hAnsi="Arial"/>
          <w:sz w:val="20"/>
          <w:szCs w:val="20"/>
          <w:shd w:fill="FFFFFF" w:val="clear"/>
          <w:lang w:val="en-US"/>
        </w:rPr>
        <w:t>. Springer.</w:t>
      </w:r>
    </w:p>
    <w:p>
      <w:pPr>
        <w:pStyle w:val="style37"/>
      </w:pPr>
      <w:r>
        <w:rPr/>
      </w:r>
    </w:p>
    <w:p>
      <w:pPr>
        <w:pStyle w:val="style37"/>
      </w:pPr>
      <w:r>
        <w:rPr>
          <w:rFonts w:ascii="Arial" w:cs="Arial" w:hAnsi="Arial"/>
          <w:sz w:val="20"/>
          <w:szCs w:val="20"/>
          <w:lang w:val="en-US"/>
        </w:rPr>
        <w:t xml:space="preserve">- </w:t>
      </w:r>
      <w:r>
        <w:rPr>
          <w:rFonts w:ascii="Arial" w:cs="Arial" w:hAnsi="Arial"/>
          <w:sz w:val="20"/>
          <w:szCs w:val="20"/>
          <w:shd w:fill="FFFFFF" w:val="clear"/>
          <w:lang w:val="en-US"/>
        </w:rPr>
        <w:t xml:space="preserve">Hartman, G. (2011). Are elevated </w:t>
      </w:r>
      <w:r>
        <w:rPr>
          <w:rFonts w:ascii="Arial" w:cs="Arial" w:hAnsi="Arial"/>
          <w:sz w:val="20"/>
          <w:szCs w:val="20"/>
          <w:shd w:fill="FFFFFF" w:val="clear"/>
        </w:rPr>
        <w:t>δ</w:t>
      </w:r>
      <w:r>
        <w:rPr>
          <w:rFonts w:ascii="Arial" w:cs="Arial" w:hAnsi="Arial"/>
          <w:sz w:val="20"/>
          <w:szCs w:val="20"/>
          <w:shd w:fill="FFFFFF" w:val="clear"/>
          <w:vertAlign w:val="superscript"/>
          <w:lang w:val="en-US"/>
        </w:rPr>
        <w:t>15</w:t>
      </w:r>
      <w:r>
        <w:rPr>
          <w:rFonts w:ascii="Arial" w:cs="Arial" w:hAnsi="Arial"/>
          <w:sz w:val="20"/>
          <w:szCs w:val="20"/>
          <w:shd w:fill="FFFFFF" w:val="clear"/>
          <w:lang w:val="en-US"/>
        </w:rPr>
        <w:t>N values in herbivores in hot and arid environments caused by diet or animal physiology?</w:t>
      </w:r>
      <w:r>
        <w:rPr>
          <w:rStyle w:val="style16"/>
          <w:rFonts w:ascii="Arial" w:cs="Arial" w:hAnsi="Arial"/>
          <w:color w:val="222222"/>
          <w:sz w:val="20"/>
          <w:szCs w:val="20"/>
          <w:shd w:fill="FFFFFF" w:val="clear"/>
          <w:lang w:val="en-US"/>
        </w:rPr>
        <w:t> </w:t>
      </w:r>
      <w:r>
        <w:rPr>
          <w:rFonts w:ascii="Arial" w:cs="Arial" w:hAnsi="Arial"/>
          <w:i/>
          <w:iCs/>
          <w:sz w:val="20"/>
          <w:szCs w:val="20"/>
          <w:shd w:fill="FFFFFF" w:val="clear"/>
          <w:lang w:val="en-US"/>
        </w:rPr>
        <w:t>Functional Ecology</w:t>
      </w:r>
      <w:r>
        <w:rPr>
          <w:rStyle w:val="style16"/>
          <w:rFonts w:ascii="Arial" w:cs="Arial" w:hAnsi="Arial"/>
          <w:color w:val="222222"/>
          <w:sz w:val="20"/>
          <w:szCs w:val="20"/>
          <w:shd w:fill="FFFFFF" w:val="clear"/>
          <w:lang w:val="en-US"/>
        </w:rPr>
        <w:t> </w:t>
      </w:r>
      <w:r>
        <w:rPr>
          <w:rFonts w:ascii="Arial" w:cs="Arial" w:hAnsi="Arial"/>
          <w:i/>
          <w:iCs/>
          <w:sz w:val="20"/>
          <w:szCs w:val="20"/>
          <w:shd w:fill="FFFFFF" w:val="clear"/>
          <w:lang w:val="en-US"/>
        </w:rPr>
        <w:t>25</w:t>
      </w:r>
      <w:r>
        <w:rPr>
          <w:rFonts w:ascii="Arial" w:cs="Arial" w:hAnsi="Arial"/>
          <w:sz w:val="20"/>
          <w:szCs w:val="20"/>
          <w:shd w:fill="FFFFFF" w:val="clear"/>
          <w:lang w:val="en-US"/>
        </w:rPr>
        <w:t>(1): 122-131.</w:t>
      </w:r>
    </w:p>
    <w:p>
      <w:pPr>
        <w:pStyle w:val="style37"/>
      </w:pPr>
      <w:r>
        <w:rPr/>
      </w:r>
    </w:p>
    <w:p>
      <w:pPr>
        <w:pStyle w:val="style37"/>
      </w:pPr>
      <w:r>
        <w:rPr>
          <w:rFonts w:ascii="Arial" w:cs="Arial" w:hAnsi="Arial"/>
          <w:sz w:val="20"/>
          <w:szCs w:val="20"/>
          <w:lang w:val="en-US"/>
        </w:rPr>
        <w:t>- Johnson, A., A. Gil, G. Neme y J. Freeman</w:t>
      </w:r>
      <w:r>
        <w:rPr>
          <w:rFonts w:ascii="Arial" w:cs="Arial" w:hAnsi="Arial"/>
          <w:bCs/>
          <w:caps/>
          <w:sz w:val="20"/>
          <w:szCs w:val="20"/>
          <w:lang w:val="en-US"/>
        </w:rPr>
        <w:t xml:space="preserve">. </w:t>
      </w:r>
      <w:r>
        <w:rPr>
          <w:rFonts w:ascii="Arial" w:cs="Arial" w:hAnsi="Arial"/>
          <w:bCs/>
          <w:caps/>
          <w:sz w:val="20"/>
          <w:szCs w:val="20"/>
          <w:lang w:val="es-ES"/>
        </w:rPr>
        <w:t>(</w:t>
      </w:r>
      <w:r>
        <w:rPr>
          <w:rFonts w:ascii="Arial" w:cs="Arial" w:hAnsi="Arial"/>
          <w:caps/>
          <w:sz w:val="20"/>
          <w:szCs w:val="20"/>
          <w:lang w:val="es-ES"/>
        </w:rPr>
        <w:t>2009)</w:t>
      </w:r>
      <w:r>
        <w:rPr>
          <w:rFonts w:ascii="Arial" w:cs="Arial" w:hAnsi="Arial"/>
          <w:sz w:val="20"/>
          <w:szCs w:val="20"/>
          <w:lang w:val="es-ES"/>
        </w:rPr>
        <w:t xml:space="preserve"> </w:t>
      </w:r>
      <w:r>
        <w:rPr>
          <w:rFonts w:ascii="Arial" w:cs="Arial" w:hAnsi="Arial"/>
          <w:sz w:val="20"/>
          <w:szCs w:val="20"/>
        </w:rPr>
        <w:t xml:space="preserve">Maíces e intensificación: Explorando el uso de marcos de referencia. En: López, G. y Cardillo, M. (Editor) </w:t>
      </w:r>
      <w:r>
        <w:rPr>
          <w:rFonts w:ascii="Arial" w:cs="Arial" w:hAnsi="Arial"/>
          <w:i/>
          <w:iCs/>
          <w:sz w:val="20"/>
          <w:szCs w:val="20"/>
        </w:rPr>
        <w:t>Arqueología y Evolución. Teoría, Metodología y Casos de Estudio</w:t>
      </w:r>
      <w:r>
        <w:rPr>
          <w:rFonts w:ascii="Arial" w:cs="Arial" w:hAnsi="Arial"/>
          <w:sz w:val="20"/>
          <w:szCs w:val="20"/>
        </w:rPr>
        <w:t>. Colección Complejidad Humana, p</w:t>
      </w:r>
      <w:r>
        <w:rPr>
          <w:rFonts w:ascii="Arial" w:cs="Arial" w:hAnsi="Arial"/>
          <w:sz w:val="20"/>
          <w:szCs w:val="20"/>
          <w:lang w:val="es-ES"/>
        </w:rPr>
        <w:t>p. 23-48. Buenos Aires.</w:t>
      </w:r>
    </w:p>
    <w:p>
      <w:pPr>
        <w:pStyle w:val="style37"/>
      </w:pPr>
      <w:r>
        <w:rPr/>
      </w:r>
    </w:p>
    <w:p>
      <w:pPr>
        <w:pStyle w:val="style37"/>
      </w:pPr>
      <w:r>
        <w:rPr/>
      </w:r>
    </w:p>
    <w:p>
      <w:pPr>
        <w:pStyle w:val="style37"/>
      </w:pPr>
      <w:r>
        <w:rPr>
          <w:rFonts w:ascii="Arial" w:cs="Arial" w:hAnsi="Arial"/>
          <w:bCs/>
          <w:sz w:val="20"/>
          <w:szCs w:val="20"/>
          <w:lang w:val="en-US"/>
        </w:rPr>
        <w:t xml:space="preserve">- Murphy, B.P. y Bowman, D.M.J.S. </w:t>
      </w:r>
      <w:r>
        <w:rPr>
          <w:rFonts w:ascii="Arial" w:cs="Arial" w:hAnsi="Arial"/>
          <w:sz w:val="20"/>
          <w:szCs w:val="20"/>
          <w:lang w:val="en-US"/>
        </w:rPr>
        <w:t xml:space="preserve">(2006) Kangaroo metabolism does not cause the relationship between bone collagen </w:t>
      </w:r>
      <w:r>
        <w:rPr>
          <w:rFonts w:ascii="Arial" w:cs="Arial" w:hAnsi="Arial"/>
          <w:sz w:val="20"/>
          <w:szCs w:val="20"/>
        </w:rPr>
        <w:t>δ</w:t>
      </w:r>
      <w:r>
        <w:rPr>
          <w:rFonts w:ascii="Arial" w:cs="Arial" w:hAnsi="Arial"/>
          <w:sz w:val="20"/>
          <w:szCs w:val="20"/>
          <w:vertAlign w:val="superscript"/>
          <w:lang w:val="en-US"/>
        </w:rPr>
        <w:t>15</w:t>
      </w:r>
      <w:r>
        <w:rPr>
          <w:rFonts w:ascii="Arial" w:cs="Arial" w:hAnsi="Arial"/>
          <w:sz w:val="20"/>
          <w:szCs w:val="20"/>
          <w:lang w:val="en-US"/>
        </w:rPr>
        <w:t xml:space="preserve">N and water availability. </w:t>
      </w:r>
      <w:hyperlink r:id="rId2">
        <w:r>
          <w:rPr>
            <w:rStyle w:val="style17"/>
            <w:rStyle w:val="style17"/>
            <w:rFonts w:ascii="Arial" w:cs="Arial" w:hAnsi="Arial"/>
            <w:i/>
            <w:iCs/>
            <w:color w:val="000000"/>
            <w:sz w:val="20"/>
            <w:szCs w:val="20"/>
            <w:u w:val="none"/>
            <w:lang w:val="en-US"/>
          </w:rPr>
          <w:t>Functional Ecology</w:t>
        </w:r>
      </w:hyperlink>
      <w:r>
        <w:rPr>
          <w:rFonts w:ascii="Arial" w:cs="Arial" w:hAnsi="Arial"/>
          <w:sz w:val="20"/>
          <w:szCs w:val="20"/>
          <w:lang w:val="en-US"/>
        </w:rPr>
        <w:t xml:space="preserve"> 20 (6): 1062-1069.</w:t>
      </w:r>
    </w:p>
    <w:p>
      <w:pPr>
        <w:pStyle w:val="style37"/>
      </w:pPr>
      <w:r>
        <w:rPr/>
      </w:r>
    </w:p>
    <w:p>
      <w:pPr>
        <w:pStyle w:val="style37"/>
      </w:pPr>
      <w:r>
        <w:rPr>
          <w:rFonts w:ascii="Arial" w:cs="Arial" w:hAnsi="Arial"/>
          <w:sz w:val="20"/>
          <w:szCs w:val="20"/>
          <w:lang w:val="en-US"/>
        </w:rPr>
        <w:t>- Tykot, R. H. (2004)</w:t>
      </w:r>
      <w:r>
        <w:rPr>
          <w:rFonts w:ascii="Arial" w:cs="Arial" w:hAnsi="Arial"/>
          <w:b/>
          <w:bCs/>
          <w:sz w:val="20"/>
          <w:szCs w:val="20"/>
          <w:lang w:val="en-US"/>
        </w:rPr>
        <w:t xml:space="preserve"> </w:t>
      </w:r>
      <w:r>
        <w:rPr>
          <w:rFonts w:ascii="Arial" w:cs="Arial" w:hAnsi="Arial"/>
          <w:bCs/>
          <w:sz w:val="20"/>
          <w:szCs w:val="20"/>
          <w:lang w:val="en-US"/>
        </w:rPr>
        <w:t xml:space="preserve">Stable isotopes and diet: You are what you eat. En: </w:t>
      </w:r>
      <w:r>
        <w:rPr>
          <w:rFonts w:ascii="Arial" w:cs="Arial" w:hAnsi="Arial"/>
          <w:sz w:val="20"/>
          <w:szCs w:val="20"/>
          <w:lang w:val="en-US"/>
        </w:rPr>
        <w:t xml:space="preserve">Martini, M. </w:t>
      </w:r>
      <w:r>
        <w:rPr>
          <w:rFonts w:ascii="Arial" w:cs="Arial" w:hAnsi="Arial"/>
          <w:i/>
          <w:sz w:val="20"/>
          <w:szCs w:val="20"/>
          <w:lang w:val="en-US"/>
        </w:rPr>
        <w:t>et al.</w:t>
      </w:r>
      <w:r>
        <w:rPr>
          <w:rFonts w:ascii="Arial" w:cs="Arial" w:hAnsi="Arial"/>
          <w:sz w:val="20"/>
          <w:szCs w:val="20"/>
          <w:lang w:val="en-US"/>
        </w:rPr>
        <w:t xml:space="preserve"> (Editores)</w:t>
      </w:r>
    </w:p>
    <w:p>
      <w:pPr>
        <w:pStyle w:val="style37"/>
      </w:pPr>
      <w:r>
        <w:rPr>
          <w:rFonts w:ascii="Arial" w:cs="Arial" w:hAnsi="Arial"/>
          <w:i/>
          <w:sz w:val="20"/>
          <w:szCs w:val="20"/>
          <w:lang w:val="en-US"/>
        </w:rPr>
        <w:t>Proceedings of the International School of Physics “Enrico Fermi” Course CLIV</w:t>
      </w:r>
      <w:r>
        <w:rPr>
          <w:rFonts w:ascii="Arial" w:cs="Arial" w:hAnsi="Arial"/>
          <w:sz w:val="20"/>
          <w:szCs w:val="20"/>
          <w:lang w:val="en-US"/>
        </w:rPr>
        <w:t xml:space="preserve">, pp. 433-444. </w:t>
      </w:r>
      <w:r>
        <w:rPr>
          <w:rFonts w:ascii="Arial" w:cs="Arial" w:hAnsi="Arial"/>
          <w:sz w:val="20"/>
          <w:szCs w:val="20"/>
          <w:lang w:val="es-ES"/>
        </w:rPr>
        <w:t xml:space="preserve">IOS Press, Amsterdam. </w:t>
      </w:r>
    </w:p>
    <w:p>
      <w:pPr>
        <w:pStyle w:val="style37"/>
      </w:pPr>
      <w:r>
        <w:rPr/>
      </w:r>
    </w:p>
    <w:p>
      <w:pPr>
        <w:pStyle w:val="style37"/>
      </w:pPr>
      <w:r>
        <w:rPr>
          <w:rFonts w:ascii="Arial" w:cs="Arial" w:hAnsi="Arial"/>
          <w:sz w:val="20"/>
          <w:szCs w:val="20"/>
          <w:shd w:fill="FFFFFF" w:val="clear"/>
        </w:rPr>
        <w:t xml:space="preserve">- </w:t>
      </w:r>
      <w:r>
        <w:rPr>
          <w:rFonts w:ascii="Arial" w:cs="Arial" w:hAnsi="Arial"/>
          <w:color w:val="222222"/>
          <w:sz w:val="20"/>
          <w:szCs w:val="20"/>
          <w:shd w:fill="FFFFFF" w:val="clear"/>
        </w:rPr>
        <w:t>Phillips, D. L., Inger, R., Bearhop, S., Jackson, A. L., Moore, J. W., Parnell, A. C., y Ward, E. J. (2014). Best practices for use of stable isotope mixing models in food-web studies.</w:t>
      </w:r>
      <w:r>
        <w:rPr>
          <w:rFonts w:ascii="Arial" w:cs="Arial" w:hAnsi="Arial"/>
          <w:color w:val="222222"/>
          <w:sz w:val="20"/>
          <w:szCs w:val="20"/>
        </w:rPr>
        <w:t> </w:t>
      </w:r>
      <w:r>
        <w:rPr>
          <w:rFonts w:ascii="Arial" w:cs="Arial" w:hAnsi="Arial"/>
          <w:i/>
          <w:iCs/>
          <w:color w:val="222222"/>
          <w:sz w:val="20"/>
          <w:szCs w:val="20"/>
          <w:shd w:fill="FFFFFF" w:val="clear"/>
        </w:rPr>
        <w:t>Canadian Journal of Zoology</w:t>
      </w:r>
      <w:r>
        <w:rPr>
          <w:rFonts w:ascii="Arial" w:cs="Arial" w:hAnsi="Arial"/>
          <w:color w:val="222222"/>
          <w:sz w:val="20"/>
          <w:szCs w:val="20"/>
          <w:shd w:fill="FFFFFF" w:val="clear"/>
        </w:rPr>
        <w:t>,</w:t>
      </w:r>
      <w:r>
        <w:rPr>
          <w:rFonts w:ascii="Arial" w:cs="Arial" w:hAnsi="Arial"/>
          <w:color w:val="222222"/>
          <w:sz w:val="20"/>
          <w:szCs w:val="20"/>
        </w:rPr>
        <w:t> </w:t>
      </w:r>
      <w:r>
        <w:rPr>
          <w:rFonts w:ascii="Arial" w:cs="Arial" w:hAnsi="Arial"/>
          <w:i/>
          <w:iCs/>
          <w:color w:val="222222"/>
          <w:sz w:val="20"/>
          <w:szCs w:val="20"/>
          <w:shd w:fill="FFFFFF" w:val="clear"/>
        </w:rPr>
        <w:t>92</w:t>
      </w:r>
      <w:r>
        <w:rPr>
          <w:rFonts w:ascii="Arial" w:cs="Arial" w:hAnsi="Arial"/>
          <w:color w:val="222222"/>
          <w:sz w:val="20"/>
          <w:szCs w:val="20"/>
          <w:shd w:fill="FFFFFF" w:val="clear"/>
        </w:rPr>
        <w:t>(10), 823-835.</w:t>
      </w:r>
    </w:p>
    <w:p>
      <w:pPr>
        <w:pStyle w:val="style37"/>
      </w:pPr>
      <w:r>
        <w:rPr/>
      </w:r>
    </w:p>
    <w:p>
      <w:pPr>
        <w:pStyle w:val="style37"/>
      </w:pPr>
      <w:r>
        <w:rPr/>
      </w:r>
    </w:p>
    <w:p>
      <w:pPr>
        <w:pStyle w:val="style37"/>
      </w:pPr>
      <w:r>
        <w:rPr>
          <w:rFonts w:ascii="Arial" w:cs="Arial" w:hAnsi="Arial"/>
          <w:b/>
          <w:sz w:val="20"/>
          <w:szCs w:val="20"/>
          <w:lang w:val="es-ES"/>
        </w:rPr>
        <w:t>ACTIVIDADES PLANIFICA</w:t>
      </w:r>
      <w:r>
        <w:rPr>
          <w:rFonts w:ascii="Arial" w:cs="Arial" w:hAnsi="Arial"/>
          <w:b/>
          <w:sz w:val="20"/>
          <w:szCs w:val="20"/>
        </w:rPr>
        <w:t>DAS</w:t>
      </w:r>
    </w:p>
    <w:p>
      <w:pPr>
        <w:pStyle w:val="style37"/>
        <w:jc w:val="both"/>
      </w:pPr>
      <w:r>
        <w:rPr/>
      </w:r>
    </w:p>
    <w:p>
      <w:pPr>
        <w:pStyle w:val="style37"/>
        <w:numPr>
          <w:ilvl w:val="0"/>
          <w:numId w:val="2"/>
        </w:numPr>
        <w:jc w:val="both"/>
      </w:pPr>
      <w:r>
        <w:rPr>
          <w:rFonts w:ascii="Arial" w:cs="Arial" w:hAnsi="Arial"/>
          <w:sz w:val="20"/>
          <w:szCs w:val="20"/>
        </w:rPr>
        <w:t>Exposiciones teórico-prácticas con apoyatura visual.</w:t>
      </w:r>
    </w:p>
    <w:p>
      <w:pPr>
        <w:pStyle w:val="style37"/>
        <w:numPr>
          <w:ilvl w:val="0"/>
          <w:numId w:val="2"/>
        </w:numPr>
        <w:jc w:val="both"/>
      </w:pPr>
      <w:r>
        <w:rPr>
          <w:rFonts w:ascii="Arial" w:cs="Arial" w:hAnsi="Arial"/>
          <w:sz w:val="20"/>
          <w:szCs w:val="20"/>
        </w:rPr>
        <w:t>Uso de programas estadísticos para la resolución de problemas.</w:t>
      </w:r>
    </w:p>
    <w:p>
      <w:pPr>
        <w:pStyle w:val="style37"/>
        <w:numPr>
          <w:ilvl w:val="0"/>
          <w:numId w:val="2"/>
        </w:numPr>
        <w:jc w:val="both"/>
      </w:pPr>
      <w:r>
        <w:rPr>
          <w:rFonts w:ascii="Arial" w:cs="Arial" w:hAnsi="Arial"/>
          <w:sz w:val="20"/>
          <w:szCs w:val="20"/>
        </w:rPr>
        <w:t>Salida para realizar trabajo de campo. Prospección en el predio de Ciudad Universitaria (UBA). Recolección de materiales y reconstrucción de cadenas tróficas en estuarios.</w:t>
      </w:r>
    </w:p>
    <w:p>
      <w:pPr>
        <w:pStyle w:val="style37"/>
        <w:numPr>
          <w:ilvl w:val="0"/>
          <w:numId w:val="2"/>
        </w:numPr>
        <w:jc w:val="both"/>
      </w:pPr>
      <w:r>
        <w:rPr>
          <w:rFonts w:ascii="Arial" w:cs="Arial" w:hAnsi="Arial"/>
          <w:sz w:val="20"/>
          <w:szCs w:val="20"/>
        </w:rPr>
        <w:t>Visita a los laboratorios de Isótopos ambientales de INGEIS (UBA-CONICET). Vista en funcionamiento de diferentes equipos de espectrometría de masas de relaciones isotópicas. Pretratamiento de muestras para la medición isotópica.  </w:t>
      </w:r>
    </w:p>
    <w:p>
      <w:pPr>
        <w:pStyle w:val="style37"/>
      </w:pPr>
      <w:r>
        <w:rPr/>
      </w:r>
    </w:p>
    <w:p>
      <w:pPr>
        <w:pStyle w:val="style37"/>
      </w:pPr>
      <w:r>
        <w:rPr/>
      </w:r>
    </w:p>
    <w:p>
      <w:pPr>
        <w:pStyle w:val="style37"/>
      </w:pPr>
      <w:r>
        <w:rPr>
          <w:rFonts w:ascii="Arial" w:cs="Arial" w:hAnsi="Arial"/>
          <w:b/>
          <w:sz w:val="20"/>
          <w:szCs w:val="20"/>
        </w:rPr>
        <w:t xml:space="preserve">FORMAS DE EVALUACIÓN A UTILIZAR </w:t>
      </w:r>
    </w:p>
    <w:p>
      <w:pPr>
        <w:pStyle w:val="style37"/>
      </w:pPr>
      <w:r>
        <w:rPr/>
      </w:r>
    </w:p>
    <w:p>
      <w:pPr>
        <w:pStyle w:val="style37"/>
      </w:pPr>
      <w:r>
        <w:rPr>
          <w:rFonts w:ascii="Arial" w:cs="Arial" w:hAnsi="Arial"/>
          <w:sz w:val="20"/>
          <w:szCs w:val="20"/>
        </w:rPr>
        <w:t>- Dos exposiciones orales con apoyatura visual, sobre aspectos teóricos y casos de aplicación arqueológica, seleccionando bibliografía de la cursada</w:t>
      </w:r>
    </w:p>
    <w:p>
      <w:pPr>
        <w:pStyle w:val="style37"/>
      </w:pPr>
      <w:r>
        <w:rPr>
          <w:rFonts w:ascii="Arial" w:cs="Arial" w:hAnsi="Arial"/>
          <w:sz w:val="20"/>
          <w:szCs w:val="20"/>
        </w:rPr>
        <w:t>- Monografía individual al finalizar el seminario</w:t>
      </w:r>
    </w:p>
    <w:p>
      <w:pPr>
        <w:pStyle w:val="style37"/>
      </w:pPr>
      <w:r>
        <w:rPr/>
      </w:r>
    </w:p>
    <w:p>
      <w:pPr>
        <w:pStyle w:val="style37"/>
      </w:pPr>
      <w:r>
        <w:rPr/>
      </w:r>
    </w:p>
    <w:p>
      <w:pPr>
        <w:pStyle w:val="style37"/>
      </w:pPr>
      <w:r>
        <w:rPr>
          <w:rFonts w:ascii="Arial" w:cs="Arial" w:hAnsi="Arial"/>
          <w:b/>
          <w:sz w:val="20"/>
          <w:szCs w:val="20"/>
        </w:rPr>
        <w:t xml:space="preserve">CRITERIOS PARA LA EVALUACIÓN </w:t>
      </w:r>
    </w:p>
    <w:p>
      <w:pPr>
        <w:pStyle w:val="style37"/>
      </w:pPr>
      <w:r>
        <w:rPr/>
      </w:r>
    </w:p>
    <w:p>
      <w:pPr>
        <w:pStyle w:val="style37"/>
      </w:pPr>
      <w:r>
        <w:rPr>
          <w:rFonts w:ascii="Arial" w:cs="Arial" w:hAnsi="Arial"/>
          <w:sz w:val="20"/>
          <w:szCs w:val="20"/>
          <w:shd w:fill="FFFFFF" w:val="clear"/>
        </w:rPr>
        <w:t>La asistencia de los alumnos debe ser del 80%. Los estudiantes deben presentar un trabajo monográfico final. La calificación final resultará del promedio de la nota de regularización del seminario y de la nota de la monografía.  Para su aprobación, dicha nota promedio no debe ser inferior a 4 (cuatro)</w:t>
      </w:r>
    </w:p>
    <w:p>
      <w:pPr>
        <w:pStyle w:val="style37"/>
      </w:pPr>
      <w:r>
        <w:rPr/>
      </w:r>
    </w:p>
    <w:p>
      <w:pPr>
        <w:pStyle w:val="style37"/>
      </w:pPr>
      <w:r>
        <w:rPr/>
      </w:r>
    </w:p>
    <w:p>
      <w:pPr>
        <w:pStyle w:val="style37"/>
      </w:pPr>
      <w:r>
        <w:rPr/>
      </w:r>
    </w:p>
    <w:p>
      <w:pPr>
        <w:pStyle w:val="style37"/>
      </w:pPr>
      <w:r>
        <w:rPr/>
      </w:r>
    </w:p>
    <w:p>
      <w:pPr>
        <w:pStyle w:val="style37"/>
      </w:pPr>
      <w:r>
        <w:rPr/>
      </w:r>
    </w:p>
    <w:p>
      <w:pPr>
        <w:pStyle w:val="style37"/>
      </w:pPr>
      <w:r>
        <w:rPr/>
      </w:r>
    </w:p>
    <w:sectPr>
      <w:type w:val="nextPage"/>
      <w:pgSz w:h="15840" w:w="12240"/>
      <w:pgMar w:bottom="1417" w:footer="0" w:gutter="0" w:header="0" w:left="1701" w:right="1701"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200" w:before="0" w:line="276" w:lineRule="auto"/>
    </w:pPr>
    <w:rPr>
      <w:rFonts w:ascii="Arial" w:cs="Arial" w:eastAsia="Times New Roman" w:hAnsi="Arial"/>
      <w:color w:val="000000"/>
      <w:sz w:val="24"/>
      <w:szCs w:val="24"/>
      <w:lang w:bidi="ar-SA" w:eastAsia="es-AR" w:val="es-AR"/>
    </w:rPr>
  </w:style>
  <w:style w:styleId="style15" w:type="character">
    <w:name w:val="Default Paragraph Font"/>
    <w:next w:val="style15"/>
    <w:rPr/>
  </w:style>
  <w:style w:styleId="style16" w:type="character">
    <w:name w:val="apple-converted-space"/>
    <w:basedOn w:val="style15"/>
    <w:next w:val="style16"/>
    <w:rPr>
      <w:rFonts w:cs="Times New Roman"/>
    </w:rPr>
  </w:style>
  <w:style w:styleId="style17" w:type="character">
    <w:name w:val="Enlace de Internet"/>
    <w:basedOn w:val="style15"/>
    <w:next w:val="style17"/>
    <w:rPr>
      <w:rFonts w:cs="Times New Roman"/>
      <w:color w:val="0000FF"/>
      <w:u w:val="single"/>
      <w:lang w:bidi="es-ES" w:eastAsia="es-ES" w:val="es-ES"/>
    </w:rPr>
  </w:style>
  <w:style w:styleId="style18" w:type="character">
    <w:name w:val="annotation reference"/>
    <w:basedOn w:val="style15"/>
    <w:next w:val="style18"/>
    <w:rPr>
      <w:rFonts w:cs="Times New Roman"/>
      <w:sz w:val="16"/>
      <w:szCs w:val="16"/>
    </w:rPr>
  </w:style>
  <w:style w:styleId="style19" w:type="character">
    <w:name w:val="Comment Text Char"/>
    <w:basedOn w:val="style15"/>
    <w:next w:val="style19"/>
    <w:rPr>
      <w:rFonts w:cs="Times New Roman"/>
      <w:sz w:val="20"/>
      <w:szCs w:val="20"/>
      <w:lang w:eastAsia="es-AR" w:val="es-AR"/>
    </w:rPr>
  </w:style>
  <w:style w:styleId="style20" w:type="character">
    <w:name w:val="Comment Subject Char"/>
    <w:basedOn w:val="style19"/>
    <w:next w:val="style20"/>
    <w:rPr>
      <w:b/>
      <w:bCs/>
    </w:rPr>
  </w:style>
  <w:style w:styleId="style21" w:type="character">
    <w:name w:val="Balloon Text Char"/>
    <w:basedOn w:val="style15"/>
    <w:next w:val="style21"/>
    <w:rPr>
      <w:rFonts w:ascii="Tahoma" w:cs="Tahoma" w:hAnsi="Tahoma"/>
      <w:sz w:val="16"/>
      <w:szCs w:val="16"/>
      <w:lang w:eastAsia="es-AR" w:val="es-AR"/>
    </w:rPr>
  </w:style>
  <w:style w:styleId="style22" w:type="character">
    <w:name w:val="ListLabel 1"/>
    <w:next w:val="style22"/>
    <w:rPr>
      <w:rFonts w:eastAsia="Times New Roman"/>
    </w:rPr>
  </w:style>
  <w:style w:styleId="style23" w:type="character">
    <w:name w:val="ListLabel 2"/>
    <w:next w:val="style23"/>
    <w:rPr>
      <w:rFonts w:eastAsia="Times New Roman"/>
      <w:i/>
    </w:rPr>
  </w:style>
  <w:style w:styleId="style24" w:type="character">
    <w:name w:val="ListLabel 3"/>
    <w:next w:val="style24"/>
    <w:rPr>
      <w:rFonts w:eastAsia="Times New Roman"/>
      <w:b w:val="false"/>
    </w:rPr>
  </w:style>
  <w:style w:styleId="style25" w:type="character">
    <w:name w:val="ListLabel 4"/>
    <w:next w:val="style25"/>
    <w:rPr>
      <w:rFonts w:cs="Symbol"/>
    </w:rPr>
  </w:style>
  <w:style w:styleId="style26" w:type="character">
    <w:name w:val="ListLabel 5"/>
    <w:next w:val="style26"/>
    <w:rPr>
      <w:rFonts w:cs="Courier New"/>
    </w:rPr>
  </w:style>
  <w:style w:styleId="style27" w:type="character">
    <w:name w:val="ListLabel 6"/>
    <w:next w:val="style27"/>
    <w:rPr>
      <w:rFonts w:cs="Wingdings"/>
    </w:rPr>
  </w:style>
  <w:style w:styleId="style28" w:type="paragraph">
    <w:name w:val="Encabezado"/>
    <w:basedOn w:val="style0"/>
    <w:next w:val="style29"/>
    <w:pPr>
      <w:keepNext/>
      <w:spacing w:after="120" w:before="240"/>
    </w:pPr>
    <w:rPr>
      <w:rFonts w:ascii="Liberation Sans" w:cs="FreeSans" w:eastAsia="Droid Sans" w:hAnsi="Liberation Sans"/>
      <w:sz w:val="28"/>
      <w:szCs w:val="28"/>
    </w:rPr>
  </w:style>
  <w:style w:styleId="style29" w:type="paragraph">
    <w:name w:val="Cuerpo de texto"/>
    <w:basedOn w:val="style0"/>
    <w:next w:val="style29"/>
    <w:pPr>
      <w:spacing w:after="120" w:before="0"/>
    </w:pPr>
    <w:rPr/>
  </w:style>
  <w:style w:styleId="style30" w:type="paragraph">
    <w:name w:val="Lista"/>
    <w:basedOn w:val="style29"/>
    <w:next w:val="style30"/>
    <w:pPr/>
    <w:rPr>
      <w:rFonts w:cs="FreeSans"/>
    </w:rPr>
  </w:style>
  <w:style w:styleId="style31" w:type="paragraph">
    <w:name w:val="Etiqueta"/>
    <w:basedOn w:val="style0"/>
    <w:next w:val="style31"/>
    <w:pPr>
      <w:suppressLineNumbers/>
      <w:spacing w:after="120" w:before="120"/>
    </w:pPr>
    <w:rPr>
      <w:rFonts w:cs="FreeSans"/>
      <w:i/>
      <w:iCs/>
      <w:sz w:val="24"/>
      <w:szCs w:val="24"/>
    </w:rPr>
  </w:style>
  <w:style w:styleId="style32" w:type="paragraph">
    <w:name w:val="Índice"/>
    <w:basedOn w:val="style0"/>
    <w:next w:val="style32"/>
    <w:pPr>
      <w:suppressLineNumbers/>
    </w:pPr>
    <w:rPr>
      <w:rFonts w:cs="FreeSans"/>
    </w:rPr>
  </w:style>
  <w:style w:styleId="style33" w:type="paragraph">
    <w:name w:val="Normal (Web)"/>
    <w:basedOn w:val="style0"/>
    <w:next w:val="style33"/>
    <w:pPr>
      <w:spacing w:after="100" w:before="100" w:line="100" w:lineRule="atLeast"/>
    </w:pPr>
    <w:rPr>
      <w:sz w:val="24"/>
      <w:szCs w:val="24"/>
    </w:rPr>
  </w:style>
  <w:style w:styleId="style34" w:type="paragraph">
    <w:name w:val="annotation text"/>
    <w:basedOn w:val="style0"/>
    <w:next w:val="style34"/>
    <w:pPr/>
    <w:rPr>
      <w:sz w:val="20"/>
      <w:szCs w:val="20"/>
    </w:rPr>
  </w:style>
  <w:style w:styleId="style35" w:type="paragraph">
    <w:name w:val="annotation subject"/>
    <w:basedOn w:val="style34"/>
    <w:next w:val="style35"/>
    <w:pPr/>
    <w:rPr>
      <w:b/>
      <w:bCs/>
    </w:rPr>
  </w:style>
  <w:style w:styleId="style36" w:type="paragraph">
    <w:name w:val="Balloon Text"/>
    <w:basedOn w:val="style0"/>
    <w:next w:val="style36"/>
    <w:pPr>
      <w:spacing w:after="0" w:before="0" w:line="100" w:lineRule="atLeast"/>
    </w:pPr>
    <w:rPr>
      <w:rFonts w:ascii="Tahoma" w:cs="Tahoma" w:hAnsi="Tahoma"/>
      <w:sz w:val="16"/>
      <w:szCs w:val="16"/>
    </w:rPr>
  </w:style>
  <w:style w:styleId="style37" w:type="paragraph">
    <w:name w:val="No Spacing"/>
    <w:next w:val="style37"/>
    <w:pPr>
      <w:widowControl/>
      <w:tabs>
        <w:tab w:leader="none" w:pos="708" w:val="left"/>
      </w:tabs>
      <w:suppressAutoHyphens w:val="true"/>
    </w:pPr>
    <w:rPr>
      <w:rFonts w:ascii="Calibri" w:cs="Times New Roman" w:eastAsia="Times New Roman" w:hAnsi="Calibri"/>
      <w:color w:val="00000A"/>
      <w:sz w:val="22"/>
      <w:szCs w:val="22"/>
      <w:lang w:bidi="ar-SA" w:eastAsia="es-AR" w:val="es-A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gentaconnect.com/content/bsc/fecol;jsessionid=1t0eacr20sxq.alexandra"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Template>
  <TotalTime>3</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2015-10-13T17:41:00.00Z</dcterms:created>
  <dc:creator>Violeta</dc:creator>
  <cp:lastModifiedBy>Violeta</cp:lastModifiedBy>
  <cp:lastPrinted>2015-11-09T15:46:11.00Z</cp:lastPrinted>
  <dcterms:modified xsi:type="dcterms:W3CDTF">2015-10-14T10:27:00.00Z</dcterms:modified>
  <cp:revision>3</cp:revision>
  <dc:title>UNIVERSIDAD DE BUENOS AIRES</dc:title>
</cp:coreProperties>
</file>