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120" w:before="0" w:line="276" w:lineRule="auto"/>
      </w:pPr>
      <w:r>
        <w:rPr/>
        <w:t>UNIVERSIDAD DE BUENOS AIRES / FACULTAD DE FILOSOFÍA Y LETRAS DEPARTAMENTO DE CIENCIAS ANTROPOLÓGICAS</w:t>
      </w:r>
    </w:p>
    <w:p>
      <w:pPr>
        <w:pStyle w:val="style0"/>
        <w:spacing w:after="120" w:before="0" w:line="276" w:lineRule="auto"/>
      </w:pPr>
      <w:r>
        <w:rPr/>
      </w:r>
    </w:p>
    <w:p>
      <w:pPr>
        <w:pStyle w:val="style0"/>
        <w:spacing w:after="120" w:before="0" w:line="276" w:lineRule="auto"/>
      </w:pPr>
      <w:r>
        <w:rPr/>
        <w:t>SEMINARIO:</w:t>
      </w:r>
    </w:p>
    <w:p>
      <w:pPr>
        <w:pStyle w:val="style0"/>
        <w:spacing w:after="120" w:before="0" w:line="276" w:lineRule="auto"/>
      </w:pPr>
      <w:r>
        <w:rPr>
          <w:b/>
        </w:rPr>
        <w:t>Fuentes de información y prácticas de escritura en Antropología</w:t>
      </w:r>
    </w:p>
    <w:p>
      <w:pPr>
        <w:pStyle w:val="style0"/>
        <w:spacing w:after="120" w:before="0" w:line="276" w:lineRule="auto"/>
      </w:pPr>
      <w:r>
        <w:rPr/>
        <w:t xml:space="preserve"> </w:t>
      </w:r>
    </w:p>
    <w:p>
      <w:pPr>
        <w:pStyle w:val="style0"/>
      </w:pPr>
      <w:r>
        <w:rPr/>
        <w:t>PROFESORES: Alejandra Ramos</w:t>
      </w:r>
      <w:r>
        <w:rPr>
          <w:rStyle w:val="style19"/>
        </w:rPr>
        <w:footnoteReference w:id="2"/>
      </w:r>
      <w:r>
        <w:rPr/>
        <w:t xml:space="preserve"> y Carlos Chiappe</w:t>
      </w:r>
      <w:r>
        <w:rPr>
          <w:rStyle w:val="style19"/>
        </w:rPr>
        <w:footnoteReference w:id="3"/>
      </w:r>
      <w:r>
        <w:rPr/>
        <w:t xml:space="preserve"> </w:t>
      </w:r>
    </w:p>
    <w:p>
      <w:pPr>
        <w:pStyle w:val="style0"/>
        <w:spacing w:after="120" w:before="0" w:line="276" w:lineRule="auto"/>
      </w:pPr>
      <w:r>
        <w:rPr/>
        <w:t>1º Cuatrimestre año 2018</w:t>
      </w:r>
    </w:p>
    <w:p>
      <w:pPr>
        <w:pStyle w:val="style0"/>
        <w:spacing w:after="120" w:before="0" w:line="276" w:lineRule="auto"/>
      </w:pPr>
      <w:r>
        <w:rPr/>
      </w:r>
    </w:p>
    <w:p>
      <w:pPr>
        <w:pStyle w:val="style0"/>
        <w:spacing w:after="120" w:before="0" w:line="276" w:lineRule="auto"/>
      </w:pPr>
      <w:r>
        <w:rPr/>
      </w:r>
    </w:p>
    <w:p>
      <w:pPr>
        <w:pStyle w:val="style0"/>
        <w:spacing w:after="120" w:before="0" w:line="276" w:lineRule="auto"/>
      </w:pPr>
      <w:r>
        <w:rPr/>
        <w:t xml:space="preserve"> </w:t>
      </w:r>
    </w:p>
    <w:p>
      <w:pPr>
        <w:pStyle w:val="style0"/>
        <w:spacing w:after="120" w:before="0" w:line="276" w:lineRule="auto"/>
        <w:jc w:val="left"/>
      </w:pPr>
      <w:r>
        <w:rPr/>
        <w:t>1. FUNDAMENTACIÓN TEÓRICA DE LA PROPUESTA</w:t>
      </w:r>
    </w:p>
    <w:p>
      <w:pPr>
        <w:pStyle w:val="style0"/>
        <w:spacing w:after="120" w:before="0" w:line="276" w:lineRule="auto"/>
        <w:jc w:val="both"/>
      </w:pPr>
      <w:r>
        <w:rPr>
          <w:color w:val="212121"/>
        </w:rPr>
        <w:t>La historia de la Antropología muestra un temprano y prolongado uso de diversas fuentes de información, hecho que llevó a configurar en la práctica un hacer disciplinar en el que intervienen distintos tipos de registros. A modo de limitado ejemplo, en el caso de las fuentes escritas, tanto durante el Modelo Antropológico Clásico como a partir del "giro histórico" de la década de 1980, los antropólogos han empleado documentos y han expresado distintas propuestas para su tratamiento. La incorporación reflexiva de las diversas fuentes ha originado sub-ramas disciplinares como la antropología visual, histórica, lingüística, de los objetos, virtual, etc., las cuales han aportado casuística y nuevos abordajes teórico-metodológicos. Para lograr un adecuado uso del heteróclito conjunto de registros disponibles, las carreras de grado deben ofrecer instancias formativas en donde los estudiantes conozcan su variedad, características y se inicien en el uso crítico de los mismos.</w:t>
      </w:r>
    </w:p>
    <w:p>
      <w:pPr>
        <w:pStyle w:val="style0"/>
        <w:spacing w:after="120" w:before="0" w:line="276" w:lineRule="auto"/>
        <w:jc w:val="both"/>
      </w:pPr>
      <w:r>
        <w:rPr>
          <w:color w:val="212121"/>
        </w:rPr>
        <w:t>El presente seminario incursiona en las diferentes estrategias que pueden implementarse alrededor de las fuentes de información pertinentes para la práctica antropológica. El hecho de que los destinatarios de este curso sean estudiantes de grado y que se encuentren formándose como antropólogos nos lleva a enfatizar en dos aspectos. El primero, práctico, se centra en alentar y recuperar desde nuestras propuestas los avances propios de investigación de los estudiantes. El segundo, teórico, nos conduce a explorar la manera en que, como antropólogos, podemos pensar las características y la búsqueda de fuentes de información en nuestras investigaciones. El entrecruzamiento entre ambos aspectos lleva a destacar la importancia de poder identificar los distintos tipos de repositorios (materiales y virtuales), las formas de búsqueda adecuadas -tanto de acuerdo al tema como al tipo de soporte-, la clasificación y organización, el abordaje crítico, los límites y la complementariedad y el diálogo entre las diversas fuentes de información.</w:t>
      </w:r>
    </w:p>
    <w:p>
      <w:pPr>
        <w:pStyle w:val="style0"/>
        <w:spacing w:after="120" w:before="0" w:line="276" w:lineRule="auto"/>
        <w:jc w:val="both"/>
      </w:pPr>
      <w:r>
        <w:rPr>
          <w:color w:val="212121"/>
        </w:rPr>
        <w:t>El empleo de diferentes soportes para la construcción de conocimiento antropológico debe ser acompañado por una reflexión sobre los medios discursivos empleados para su comunicación. El desarrollo de las competencias socio-comunicativas en el contexto universitario implica la puesta en práctica de propuestas didácticas efectivas para generar durante el aprendizaje un conocimiento sobre los diferentes géneros discursivos del ámbito académico que recupere a su vez los saberes previos de los estudiantes. La formación universitaria actual requiere, por lo tanto, ir acompañada de la apropiación y reelaboración de los saberes y del discurso disciplinar, lo cual es fundamental para facilitar la inclusión y permanencia de los estudiantes en la actividad académica y para la preparación de su desempeño profesional futuro. Por lo tanto, partiendo del abordaje realizado sobre las fuentes de información, este seminario tratará también distintas estrategias que permitan potenciar las prácticas de escritura de los asistentes al mismo.</w:t>
      </w:r>
      <w:r>
        <w:rPr/>
        <w:t xml:space="preserve"> </w:t>
      </w:r>
    </w:p>
    <w:p>
      <w:pPr>
        <w:pStyle w:val="style0"/>
        <w:spacing w:after="120" w:before="0" w:line="276" w:lineRule="auto"/>
        <w:jc w:val="both"/>
      </w:pPr>
      <w:r>
        <w:rPr/>
      </w:r>
    </w:p>
    <w:p>
      <w:pPr>
        <w:pStyle w:val="style0"/>
        <w:spacing w:after="120" w:before="0" w:line="276" w:lineRule="auto"/>
        <w:jc w:val="both"/>
      </w:pPr>
      <w:r>
        <w:rPr/>
        <w:t xml:space="preserve">2. PROPÓSITOS Y OBJETIVOS DEL SEMINARIO </w:t>
      </w:r>
    </w:p>
    <w:p>
      <w:pPr>
        <w:pStyle w:val="style0"/>
        <w:spacing w:after="120" w:before="0" w:line="276" w:lineRule="auto"/>
        <w:jc w:val="both"/>
      </w:pPr>
      <w:r>
        <w:rPr>
          <w:color w:val="212121"/>
        </w:rPr>
        <w:t>El seminario se propone aportar herramientas teórico-metodológicas para la búsqueda, sistematización, complementación y empleo crítico de las distintas fuentes de información que intervienen en la producción de conocimiento antropológico. Con el fin de  fomentar el mejoramiento de las competencias en la escritura -un aspecto clave en el desempeño de la profesión- se alentará la pesquisa por parte de los estudiantes de un conjunto limitado de fuentes de información y se los acompañará en la confección de un texto académico.</w:t>
      </w:r>
    </w:p>
    <w:p>
      <w:pPr>
        <w:pStyle w:val="style0"/>
        <w:spacing w:after="120" w:before="0" w:line="276" w:lineRule="auto"/>
        <w:jc w:val="both"/>
      </w:pPr>
      <w:r>
        <w:rPr/>
      </w:r>
    </w:p>
    <w:p>
      <w:pPr>
        <w:pStyle w:val="style0"/>
        <w:spacing w:after="120" w:before="0" w:line="276" w:lineRule="auto"/>
        <w:jc w:val="both"/>
      </w:pPr>
      <w:r>
        <w:rPr>
          <w:color w:val="212121"/>
        </w:rPr>
        <w:t>En cuanto a los objetivos específicos para este seminario proponemos:</w:t>
        <w:tab/>
      </w:r>
    </w:p>
    <w:p>
      <w:pPr>
        <w:pStyle w:val="style0"/>
        <w:numPr>
          <w:ilvl w:val="0"/>
          <w:numId w:val="2"/>
        </w:numPr>
        <w:spacing w:after="120" w:before="0" w:line="276" w:lineRule="auto"/>
        <w:jc w:val="both"/>
      </w:pPr>
      <w:r>
        <w:rPr>
          <w:color w:val="212121"/>
        </w:rPr>
        <w:t>Brindar un panorama de las propuestas y discusiones teórico metodológicas sobre el empleo de distintos tipos de fuentes de información en Antropología.</w:t>
      </w:r>
    </w:p>
    <w:p>
      <w:pPr>
        <w:pStyle w:val="style0"/>
        <w:numPr>
          <w:ilvl w:val="0"/>
          <w:numId w:val="2"/>
        </w:numPr>
        <w:spacing w:after="120" w:before="0" w:line="276" w:lineRule="auto"/>
        <w:jc w:val="both"/>
      </w:pPr>
      <w:r>
        <w:rPr>
          <w:color w:val="212121"/>
        </w:rPr>
        <w:t>Familiarizar a los estudiantes con los distintos tipos fuentes de información intervinientes en la práctica antropológica, a partir del examen de sus principales características y de los desafíos metodológicos que presentan.</w:t>
      </w:r>
    </w:p>
    <w:p>
      <w:pPr>
        <w:pStyle w:val="style0"/>
        <w:numPr>
          <w:ilvl w:val="0"/>
          <w:numId w:val="2"/>
        </w:numPr>
        <w:spacing w:after="120" w:before="0" w:line="276" w:lineRule="auto"/>
        <w:jc w:val="both"/>
      </w:pPr>
      <w:r>
        <w:rPr>
          <w:color w:val="212121"/>
        </w:rPr>
        <w:t xml:space="preserve">Proporcionar a los estudiantes herramientas para la articulación y el análisis crítico de estas fuentes de información. </w:t>
      </w:r>
    </w:p>
    <w:p>
      <w:pPr>
        <w:pStyle w:val="style0"/>
        <w:numPr>
          <w:ilvl w:val="0"/>
          <w:numId w:val="2"/>
        </w:numPr>
        <w:spacing w:after="120" w:before="0" w:line="276" w:lineRule="auto"/>
        <w:jc w:val="both"/>
      </w:pPr>
      <w:r>
        <w:rPr>
          <w:color w:val="212121"/>
        </w:rPr>
        <w:t>Fomentar en los estudiantes el desarrollo de las competencias específicas de la escritura académica.</w:t>
      </w:r>
    </w:p>
    <w:p>
      <w:pPr>
        <w:pStyle w:val="style0"/>
        <w:spacing w:after="120" w:before="0" w:line="276" w:lineRule="auto"/>
      </w:pPr>
      <w:r>
        <w:rPr/>
      </w:r>
    </w:p>
    <w:p>
      <w:pPr>
        <w:pStyle w:val="style0"/>
        <w:spacing w:after="120" w:before="0" w:line="276" w:lineRule="auto"/>
      </w:pPr>
      <w:r>
        <w:rPr/>
      </w:r>
    </w:p>
    <w:p>
      <w:pPr>
        <w:pStyle w:val="style0"/>
        <w:spacing w:after="120" w:before="0" w:line="276" w:lineRule="auto"/>
      </w:pPr>
      <w:r>
        <w:rPr/>
      </w:r>
    </w:p>
    <w:p>
      <w:pPr>
        <w:pStyle w:val="style0"/>
        <w:spacing w:after="120" w:before="0" w:line="276" w:lineRule="auto"/>
        <w:jc w:val="both"/>
      </w:pPr>
      <w:r>
        <w:rPr/>
        <w:t>3. CONTENIDOS</w:t>
      </w:r>
    </w:p>
    <w:p>
      <w:pPr>
        <w:pStyle w:val="style0"/>
        <w:spacing w:after="120" w:before="0" w:line="276" w:lineRule="auto"/>
        <w:ind w:firstLine="720" w:left="0" w:right="0"/>
        <w:jc w:val="both"/>
      </w:pPr>
      <w:r>
        <w:rPr/>
      </w:r>
    </w:p>
    <w:p>
      <w:pPr>
        <w:pStyle w:val="style0"/>
        <w:spacing w:after="120" w:before="0" w:line="276" w:lineRule="auto"/>
        <w:jc w:val="both"/>
      </w:pPr>
      <w:r>
        <w:rPr>
          <w:b/>
        </w:rPr>
        <w:t>UNIDAD 1: Las fuentes de información en Antropología</w:t>
      </w:r>
    </w:p>
    <w:p>
      <w:pPr>
        <w:pStyle w:val="style0"/>
        <w:spacing w:after="120" w:before="0" w:line="276" w:lineRule="auto"/>
        <w:jc w:val="both"/>
      </w:pPr>
      <w:r>
        <w:rPr/>
        <w:t>Introducción general a las fuentes de información. Diversidad de recursos para la investigación. Problematizar las fuentes de información en Antropología. La práctica antropológica definida a partir de la pregunta de investigación.</w:t>
      </w:r>
    </w:p>
    <w:p>
      <w:pPr>
        <w:pStyle w:val="style0"/>
        <w:spacing w:after="120" w:before="0" w:line="276" w:lineRule="auto"/>
        <w:jc w:val="both"/>
      </w:pPr>
      <w:r>
        <w:rPr/>
      </w:r>
    </w:p>
    <w:p>
      <w:pPr>
        <w:pStyle w:val="style0"/>
        <w:spacing w:after="120" w:before="0" w:line="276" w:lineRule="auto"/>
        <w:jc w:val="both"/>
      </w:pPr>
      <w:r>
        <w:rPr>
          <w:u w:val="single"/>
        </w:rPr>
        <w:t>Bibliografía obligatoria</w:t>
      </w:r>
      <w:r>
        <w:rPr/>
        <w:t>:</w:t>
      </w:r>
    </w:p>
    <w:p>
      <w:pPr>
        <w:pStyle w:val="style0"/>
        <w:spacing w:after="120" w:before="0" w:line="276" w:lineRule="auto"/>
        <w:jc w:val="both"/>
      </w:pPr>
      <w:r>
        <w:rPr/>
        <w:t xml:space="preserve">Ayllón, V. (2001). Fuentes de información. En Barragán R. (coord.) </w:t>
      </w:r>
      <w:r>
        <w:rPr>
          <w:i/>
        </w:rPr>
        <w:t>Formulación de proyectos de investigación</w:t>
      </w:r>
      <w:r>
        <w:rPr/>
        <w:t>. La Paz: PRIEB. pp. 263-349.</w:t>
      </w:r>
    </w:p>
    <w:p>
      <w:pPr>
        <w:pStyle w:val="style0"/>
        <w:spacing w:after="120" w:before="0" w:line="276" w:lineRule="auto"/>
        <w:jc w:val="both"/>
      </w:pPr>
      <w:r>
        <w:rPr/>
        <w:t xml:space="preserve">Chiappe, C. y Ramos, A. 2017. Estrategias de búsqueda y sistematización de fuentes escritas. En: A. Domínguez Mon (ed.) </w:t>
      </w:r>
      <w:r>
        <w:rPr>
          <w:i/>
        </w:rPr>
        <w:t>Trabajo de campo etnográfico: prácticas y saberes. Metodología y Técnicas de la Investigación de Campo</w:t>
      </w:r>
      <w:r>
        <w:rPr/>
        <w:t>. Buenos Aires: EFFL  (en prensa).</w:t>
      </w:r>
    </w:p>
    <w:p>
      <w:pPr>
        <w:pStyle w:val="style0"/>
        <w:spacing w:after="120" w:before="0" w:line="276" w:lineRule="auto"/>
        <w:jc w:val="both"/>
      </w:pPr>
      <w:r>
        <w:rPr/>
        <w:t xml:space="preserve">Stocking, G. (2002). Delimitando la antropología: Reflexiones históricas acerca de las fronteras de una disciplina sin fronteras. </w:t>
      </w:r>
      <w:r>
        <w:rPr>
          <w:i/>
        </w:rPr>
        <w:t>Revista de Antropología Social</w:t>
      </w:r>
      <w:r>
        <w:rPr/>
        <w:t xml:space="preserve"> 11: 11-38.</w:t>
      </w:r>
    </w:p>
    <w:p>
      <w:pPr>
        <w:pStyle w:val="style0"/>
        <w:spacing w:after="120" w:before="0" w:line="276" w:lineRule="auto"/>
        <w:jc w:val="both"/>
      </w:pPr>
      <w:r>
        <w:rPr/>
      </w:r>
    </w:p>
    <w:p>
      <w:pPr>
        <w:pStyle w:val="style0"/>
        <w:spacing w:after="120" w:before="0" w:line="276" w:lineRule="auto"/>
        <w:jc w:val="both"/>
      </w:pPr>
      <w:r>
        <w:rPr>
          <w:u w:val="single"/>
        </w:rPr>
        <w:t>Bibliografía optativa</w:t>
      </w:r>
      <w:r>
        <w:rPr/>
        <w:t>:</w:t>
      </w:r>
    </w:p>
    <w:p>
      <w:pPr>
        <w:pStyle w:val="style0"/>
        <w:spacing w:after="120" w:before="0" w:line="276" w:lineRule="auto"/>
        <w:jc w:val="both"/>
      </w:pPr>
      <w:r>
        <w:rPr/>
        <w:t xml:space="preserve">Arêas Peixoto, F. (2008). El diálogo como forma: antropología e historia intelectual. </w:t>
      </w:r>
      <w:r>
        <w:rPr>
          <w:i/>
        </w:rPr>
        <w:t xml:space="preserve">Prismas </w:t>
      </w:r>
      <w:r>
        <w:rPr/>
        <w:t>12: 17-32.</w:t>
      </w:r>
    </w:p>
    <w:p>
      <w:pPr>
        <w:pStyle w:val="style0"/>
        <w:spacing w:after="120" w:before="0" w:line="276" w:lineRule="auto"/>
        <w:jc w:val="both"/>
      </w:pPr>
      <w:r>
        <w:rPr/>
        <w:t xml:space="preserve">Augé, M. (1998). </w:t>
      </w:r>
      <w:r>
        <w:rPr>
          <w:i/>
        </w:rPr>
        <w:t>Hacia una antropología de los mundos contemporáneos</w:t>
      </w:r>
      <w:r>
        <w:rPr/>
        <w:t>. Barcelona: Gedisa.</w:t>
      </w:r>
    </w:p>
    <w:p>
      <w:pPr>
        <w:pStyle w:val="style0"/>
        <w:spacing w:after="120" w:before="0" w:line="276" w:lineRule="auto"/>
        <w:jc w:val="both"/>
      </w:pPr>
      <w:r>
        <w:rPr/>
        <w:t xml:space="preserve">Dube, S. (2007). Antropología, historia y modernidad. Cuestiones críticas. </w:t>
      </w:r>
      <w:r>
        <w:rPr>
          <w:i/>
        </w:rPr>
        <w:t>Estudios de Asia y África</w:t>
      </w:r>
      <w:r>
        <w:rPr/>
        <w:t xml:space="preserve"> XLII (2): 299-337.</w:t>
      </w:r>
    </w:p>
    <w:p>
      <w:pPr>
        <w:pStyle w:val="style0"/>
        <w:spacing w:after="120" w:before="0" w:line="276" w:lineRule="auto"/>
        <w:jc w:val="both"/>
      </w:pPr>
      <w:r>
        <w:rPr/>
        <w:t xml:space="preserve">Rojas, J. (1997). Acerca de la definición y uso de las fuentes. Una perspectiva indígena americana. </w:t>
      </w:r>
      <w:r>
        <w:rPr>
          <w:i/>
        </w:rPr>
        <w:t xml:space="preserve">EHSEA </w:t>
      </w:r>
      <w:r>
        <w:rPr/>
        <w:t>14: 45-58.</w:t>
      </w:r>
    </w:p>
    <w:p>
      <w:pPr>
        <w:pStyle w:val="style0"/>
        <w:spacing w:after="120" w:before="0" w:line="276" w:lineRule="auto"/>
        <w:jc w:val="both"/>
      </w:pPr>
      <w:r>
        <w:rPr/>
        <w:t xml:space="preserve"> </w:t>
      </w:r>
    </w:p>
    <w:p>
      <w:pPr>
        <w:pStyle w:val="style0"/>
        <w:spacing w:after="120" w:before="0" w:line="276" w:lineRule="auto"/>
        <w:jc w:val="both"/>
      </w:pPr>
      <w:r>
        <w:rPr>
          <w:b/>
        </w:rPr>
        <w:t>UNIDAD 2: Características de las diversas fuentes de información</w:t>
      </w:r>
    </w:p>
    <w:p>
      <w:pPr>
        <w:pStyle w:val="style0"/>
        <w:spacing w:after="120" w:before="0" w:line="276" w:lineRule="auto"/>
        <w:jc w:val="both"/>
      </w:pPr>
      <w:r>
        <w:rPr/>
        <w:t xml:space="preserve">Tipos de fuentes, repositorios y formas de acceso. Documentos de primera mano y documentos producidos por terceros. Notas de campo, fuentes de archivo, “escrituras menores”, registro sonoro, fuentes audiovisuales, fuentes virtuales, artefactos. </w:t>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u w:val="single"/>
        </w:rPr>
        <w:t>Bibliografía obligatoria</w:t>
      </w:r>
      <w:r>
        <w:rPr/>
        <w:t>:</w:t>
      </w:r>
    </w:p>
    <w:p>
      <w:pPr>
        <w:pStyle w:val="style0"/>
        <w:spacing w:after="120" w:before="0" w:line="276" w:lineRule="auto"/>
        <w:jc w:val="both"/>
      </w:pPr>
      <w:r>
        <w:rPr/>
        <w:t xml:space="preserve">Caamaño Dones, J. (2012). </w:t>
      </w:r>
      <w:r>
        <w:rPr>
          <w:i/>
        </w:rPr>
        <w:t>Introducción a la Paleografía y la Diplomática Hispanoamericana</w:t>
      </w:r>
      <w:r>
        <w:rPr/>
        <w:t xml:space="preserve">. Puerto Rico, INAS-Universidad de Puerto Rico-Recinto de Río Piedras. </w:t>
      </w:r>
    </w:p>
    <w:p>
      <w:pPr>
        <w:pStyle w:val="style0"/>
        <w:spacing w:after="120" w:before="0" w:line="276" w:lineRule="auto"/>
        <w:jc w:val="both"/>
      </w:pPr>
      <w:r>
        <w:rPr/>
        <w:t xml:space="preserve">Chame, A. (2013). </w:t>
      </w:r>
      <w:r>
        <w:rPr>
          <w:i/>
        </w:rPr>
        <w:t>Fotografía e Investigación documental</w:t>
      </w:r>
      <w:r>
        <w:rPr/>
        <w:t>. Buenos Aires: Editorial Facultad de Filosofía y Letras –UBA. [Selección de capítulos]</w:t>
      </w:r>
    </w:p>
    <w:p>
      <w:pPr>
        <w:pStyle w:val="style0"/>
        <w:spacing w:after="120" w:before="0" w:line="276" w:lineRule="auto"/>
        <w:jc w:val="both"/>
      </w:pPr>
      <w:r>
        <w:rPr/>
        <w:t xml:space="preserve">Chiappe, C. (2015). Etnografiando fuentes. En </w:t>
      </w:r>
      <w:r>
        <w:rPr>
          <w:i/>
        </w:rPr>
        <w:t>Los estudios andinos entre la reforma y la revolución. Chile 1960-1973</w:t>
      </w:r>
      <w:r>
        <w:rPr/>
        <w:t>. Iquique: El Jote Errante. pp. 20-26.</w:t>
      </w:r>
    </w:p>
    <w:p>
      <w:pPr>
        <w:pStyle w:val="style0"/>
        <w:spacing w:after="120" w:before="0" w:line="276" w:lineRule="auto"/>
        <w:jc w:val="both"/>
      </w:pPr>
      <w:r>
        <w:rPr/>
        <w:t xml:space="preserve">Di Prospero, C. (2017). Antropología de lo digital: construcción del campo etnográfico en co-presencia. </w:t>
      </w:r>
      <w:r>
        <w:rPr>
          <w:i/>
        </w:rPr>
        <w:t xml:space="preserve">Virtualis </w:t>
      </w:r>
      <w:r>
        <w:rPr/>
        <w:t>7 (15): 44-60.</w:t>
      </w:r>
    </w:p>
    <w:p>
      <w:pPr>
        <w:pStyle w:val="style0"/>
        <w:spacing w:after="120" w:before="0" w:line="276" w:lineRule="auto"/>
        <w:jc w:val="both"/>
      </w:pPr>
      <w:r>
        <w:rPr/>
        <w:t xml:space="preserve">Isava, L. (2009). Breve introducción a los artefactos culturales. </w:t>
      </w:r>
      <w:r>
        <w:rPr>
          <w:i/>
        </w:rPr>
        <w:t xml:space="preserve">Estudios </w:t>
      </w:r>
      <w:r>
        <w:rPr/>
        <w:t>17 (34): 441-454.</w:t>
      </w:r>
    </w:p>
    <w:p>
      <w:pPr>
        <w:pStyle w:val="style0"/>
        <w:spacing w:after="120" w:before="0" w:line="276" w:lineRule="auto"/>
        <w:jc w:val="both"/>
      </w:pPr>
      <w:r>
        <w:rPr/>
        <w:t xml:space="preserve">Guarini, G. y De Angelis, M. (2014). Introducción. En Guarini, C. y Gutiérrez, M. (coord.) Introducción. </w:t>
      </w:r>
      <w:r>
        <w:rPr>
          <w:i/>
        </w:rPr>
        <w:t>Antropología e Imagen. Pensar lo visual</w:t>
      </w:r>
      <w:r>
        <w:rPr/>
        <w:t>. Buenos Aires: Sans Soleil. pp.7-11.</w:t>
      </w:r>
    </w:p>
    <w:p>
      <w:pPr>
        <w:pStyle w:val="style0"/>
        <w:spacing w:after="120" w:before="0" w:line="276" w:lineRule="auto"/>
        <w:jc w:val="both"/>
      </w:pPr>
      <w:r>
        <w:rPr/>
        <w:t xml:space="preserve">Guarini, G (2010). Filmando la alteridad. En Guarini, C. y Gutiérrez, M. (coord.) Introducción. </w:t>
      </w:r>
      <w:r>
        <w:rPr>
          <w:i/>
        </w:rPr>
        <w:t>Antropología e Imagen. Pensar lo visual</w:t>
      </w:r>
      <w:r>
        <w:rPr/>
        <w:t>. Buenos Aires: Sans Soleil. pp. 113-121.</w:t>
      </w:r>
    </w:p>
    <w:p>
      <w:pPr>
        <w:pStyle w:val="style0"/>
        <w:spacing w:after="120" w:before="0" w:line="276" w:lineRule="auto"/>
        <w:jc w:val="both"/>
      </w:pPr>
      <w:r>
        <w:rPr/>
        <w:t xml:space="preserve">Guber, R. (2013). El registro en el diario de campo. En: </w:t>
      </w:r>
      <w:r>
        <w:rPr>
          <w:i/>
        </w:rPr>
        <w:t>La articulación etnográfica. Descubrimiento y trabajo de campo en la investigación de Esther Hermitte</w:t>
      </w:r>
      <w:r>
        <w:rPr/>
        <w:t>. Buenos Aires: Biblos. pp. 143-180.</w:t>
      </w:r>
    </w:p>
    <w:p>
      <w:pPr>
        <w:pStyle w:val="style0"/>
        <w:spacing w:after="120" w:before="0" w:line="276" w:lineRule="auto"/>
        <w:jc w:val="both"/>
      </w:pPr>
      <w:r>
        <w:rPr/>
        <w:t xml:space="preserve">Langer, E. (2001). Las fuentes documentales escritas. En R. Barragán (coord.) </w:t>
      </w:r>
      <w:r>
        <w:rPr>
          <w:i/>
        </w:rPr>
        <w:t>Formulación de proyectos de investigación.</w:t>
      </w:r>
      <w:r>
        <w:rPr/>
        <w:t xml:space="preserve"> La Paz: PIEB. pp. 171-182.</w:t>
      </w:r>
    </w:p>
    <w:p>
      <w:pPr>
        <w:pStyle w:val="style0"/>
        <w:spacing w:after="120" w:before="0" w:line="276" w:lineRule="auto"/>
        <w:jc w:val="both"/>
      </w:pPr>
      <w:r>
        <w:rPr/>
        <w:t xml:space="preserve">Pereira da Silva, S.  y Pires, M. (2008). Identidades visuales: vídeo y fotografía en las formas de representación de la identidad de Río de Janeiro. En: E. Ardevol, A. Estalella y D. Domínguez (coord.) </w:t>
      </w:r>
      <w:r>
        <w:rPr>
          <w:i/>
        </w:rPr>
        <w:t>La mediación tecnológica en la práctica etnográfica</w:t>
      </w:r>
      <w:r>
        <w:rPr/>
        <w:t>. Gipuzkoa: Zorroaga. pp. 39-47.</w:t>
      </w:r>
    </w:p>
    <w:p>
      <w:pPr>
        <w:pStyle w:val="style0"/>
        <w:spacing w:after="120" w:before="0" w:line="276" w:lineRule="auto"/>
        <w:jc w:val="both"/>
      </w:pPr>
      <w:r>
        <w:rPr/>
        <w:t xml:space="preserve">Sedeño Valdeños, A. (2004). Lo visual como medio de reflexión antropológica. Cine etnográfico versus cine documental y de ficción. </w:t>
      </w:r>
      <w:r>
        <w:rPr>
          <w:i/>
        </w:rPr>
        <w:t>Gazeta de Antropología</w:t>
      </w:r>
      <w:r>
        <w:rPr/>
        <w:t xml:space="preserve"> 20 art. 28, 8 pp.</w:t>
      </w:r>
    </w:p>
    <w:p>
      <w:pPr>
        <w:pStyle w:val="style0"/>
        <w:spacing w:after="120" w:before="0" w:line="276" w:lineRule="auto"/>
        <w:jc w:val="both"/>
      </w:pPr>
      <w:r>
        <w:rPr/>
      </w:r>
    </w:p>
    <w:p>
      <w:pPr>
        <w:pStyle w:val="style0"/>
        <w:spacing w:after="120" w:before="0" w:line="276" w:lineRule="auto"/>
        <w:jc w:val="both"/>
      </w:pPr>
      <w:r>
        <w:rPr>
          <w:u w:val="single"/>
        </w:rPr>
        <w:t>Bibliografía optativa</w:t>
      </w:r>
      <w:r>
        <w:rPr/>
        <w:t>:</w:t>
      </w:r>
    </w:p>
    <w:p>
      <w:pPr>
        <w:pStyle w:val="style0"/>
        <w:spacing w:after="120" w:before="0" w:line="276" w:lineRule="auto"/>
        <w:jc w:val="both"/>
      </w:pPr>
      <w:r>
        <w:rPr/>
        <w:t xml:space="preserve">Appadurai, A. (ed.) (1991). Introducción. </w:t>
      </w:r>
      <w:r>
        <w:rPr>
          <w:i/>
        </w:rPr>
        <w:t>La vida social de las cosas. Perspectiva cultural de las mercancías</w:t>
      </w:r>
      <w:r>
        <w:rPr/>
        <w:t>. México D.F.: Grijalbo. pp. 17-87.</w:t>
      </w:r>
    </w:p>
    <w:p>
      <w:pPr>
        <w:pStyle w:val="style0"/>
        <w:spacing w:after="120" w:before="0" w:line="276" w:lineRule="auto"/>
        <w:jc w:val="both"/>
      </w:pPr>
      <w:r>
        <w:rPr/>
        <w:t xml:space="preserve">Bosa, B. (2010). ¿Un etnógrafo entre los archivos? Propuestas para una especialización de conveniencia. </w:t>
      </w:r>
      <w:r>
        <w:rPr>
          <w:i/>
        </w:rPr>
        <w:t>Revista Colombiana de Antropología</w:t>
      </w:r>
      <w:r>
        <w:rPr/>
        <w:t xml:space="preserve"> 46 (2): 497-530.</w:t>
      </w:r>
    </w:p>
    <w:p>
      <w:pPr>
        <w:pStyle w:val="style0"/>
        <w:spacing w:after="120" w:before="0" w:line="276" w:lineRule="auto"/>
        <w:jc w:val="both"/>
      </w:pPr>
      <w:r>
        <w:rPr/>
        <w:t xml:space="preserve">Burke, P. (2005). </w:t>
      </w:r>
      <w:r>
        <w:rPr>
          <w:i/>
        </w:rPr>
        <w:t>Visto y no visto. El uso de la imagen como documento histórico</w:t>
      </w:r>
      <w:r>
        <w:rPr/>
        <w:t>. Barcelona: Crítica.</w:t>
      </w:r>
    </w:p>
    <w:p>
      <w:pPr>
        <w:pStyle w:val="style0"/>
        <w:spacing w:after="120" w:before="0" w:line="276" w:lineRule="auto"/>
        <w:jc w:val="both"/>
      </w:pPr>
      <w:r>
        <w:rPr/>
        <w:t xml:space="preserve">Cararo Funes, F.,  MacLaughlin, L. y Rita, L. (2014). Las multitudes desde una cámara antropológica: exploraciones metodológicas en la XXI Marcha de Orgullo LGBTTIQ en Ciudad de Buenos Aires” En: C. Guarini y M. Gutiérrez (coord.) </w:t>
      </w:r>
      <w:r>
        <w:rPr>
          <w:i/>
        </w:rPr>
        <w:t>Antropología e Imagen. Pensar lo visual</w:t>
      </w:r>
      <w:r>
        <w:rPr/>
        <w:t>. Buenos Aires: Sans Soleil. pp.13-28.</w:t>
      </w:r>
    </w:p>
    <w:p>
      <w:pPr>
        <w:pStyle w:val="style0"/>
        <w:spacing w:after="120" w:before="0" w:line="276" w:lineRule="auto"/>
        <w:jc w:val="both"/>
      </w:pPr>
      <w:r>
        <w:rPr/>
        <w:t xml:space="preserve">Da Silva Catela, L. (2002). El Mundo de los archivos. En: l. da Silva Catela y e. Jelin (eds.), </w:t>
      </w:r>
      <w:r>
        <w:rPr>
          <w:i/>
        </w:rPr>
        <w:t xml:space="preserve">Los archivos de la represión: documentos, memoria y verdad. </w:t>
      </w:r>
      <w:r>
        <w:rPr/>
        <w:t>Madrid: Siglo XXI. pp. 195-219.</w:t>
      </w:r>
    </w:p>
    <w:p>
      <w:pPr>
        <w:pStyle w:val="style0"/>
        <w:spacing w:after="120" w:before="0" w:line="276" w:lineRule="auto"/>
        <w:jc w:val="both"/>
      </w:pPr>
      <w:r>
        <w:rPr/>
        <w:t xml:space="preserve">Gondra Aguirre, A., De Angelis, M., López de Munain, G. y Vives-Ferrándiz Sánchez, L. (2014) Los cuerpos del Rey: Supervivencia y anacronismo de la imagen regia en los nuevos medios digitales. Una aproximación desde la antropología de la imagen. En: C. Guarini y M. Gutiérrez (coord.) </w:t>
      </w:r>
      <w:r>
        <w:rPr>
          <w:i/>
        </w:rPr>
        <w:t>Antropología e Imagen. Pensar lo visual</w:t>
      </w:r>
      <w:r>
        <w:rPr/>
        <w:t>. Buenos Aires: Sans Soleil. pp. 55-74.</w:t>
      </w:r>
    </w:p>
    <w:p>
      <w:pPr>
        <w:pStyle w:val="style0"/>
        <w:spacing w:after="120" w:before="0" w:line="276" w:lineRule="auto"/>
        <w:jc w:val="both"/>
      </w:pPr>
      <w:r>
        <w:rPr/>
        <w:t xml:space="preserve">Goñi, R. y Delanyau, A. (2009). La arqueología como “fuente” de la historia. En: M. Saleme, F. Santiago. M. Álvarez, E. Piana, M. Vázquez y M. Mansur (coords.) </w:t>
      </w:r>
      <w:r>
        <w:rPr>
          <w:i/>
        </w:rPr>
        <w:t>Arqueología de la Patagonia: una mirada desde el último confín. Jornadas de Arqueología de la Patagonia, Ushuaia 2008</w:t>
      </w:r>
      <w:r>
        <w:rPr/>
        <w:t>. Ushuaia: Utopías. pp. 143-152.</w:t>
      </w:r>
    </w:p>
    <w:p>
      <w:pPr>
        <w:pStyle w:val="style0"/>
        <w:spacing w:after="120" w:before="0" w:line="276" w:lineRule="auto"/>
        <w:jc w:val="both"/>
      </w:pPr>
      <w:r>
        <w:rPr/>
        <w:t xml:space="preserve">Hine, C. (2000). </w:t>
      </w:r>
      <w:r>
        <w:rPr>
          <w:i/>
        </w:rPr>
        <w:t>Etnografía virtual</w:t>
      </w:r>
      <w:r>
        <w:rPr/>
        <w:t>. Barcelona: UOC.</w:t>
      </w:r>
    </w:p>
    <w:p>
      <w:pPr>
        <w:pStyle w:val="style0"/>
        <w:spacing w:after="120" w:before="0" w:line="276" w:lineRule="auto"/>
        <w:jc w:val="both"/>
      </w:pPr>
      <w:r>
        <w:rPr>
          <w:lang w:val="en-US"/>
        </w:rPr>
        <w:t xml:space="preserve">Lemonnier, P. (1986). The study of material culture today: toward an Anthropology of technical systems. </w:t>
      </w:r>
      <w:r>
        <w:rPr>
          <w:i/>
          <w:lang w:val="en-US"/>
        </w:rPr>
        <w:t xml:space="preserve">Journal of Anthropological Archaeology </w:t>
      </w:r>
      <w:r>
        <w:rPr>
          <w:lang w:val="en-US"/>
        </w:rPr>
        <w:t>5: 147-186.</w:t>
      </w:r>
    </w:p>
    <w:p>
      <w:pPr>
        <w:pStyle w:val="style0"/>
        <w:spacing w:after="120" w:before="0" w:line="276" w:lineRule="auto"/>
        <w:jc w:val="both"/>
      </w:pPr>
      <w:r>
        <w:rPr/>
        <w:t xml:space="preserve">Stehberg, R. y Flores, S. (comp.) (2013). </w:t>
      </w:r>
      <w:r>
        <w:rPr>
          <w:i/>
        </w:rPr>
        <w:t>Hans Niemeyer Fernández. Cuadernos de campo y Arqueología 1932-1962</w:t>
      </w:r>
      <w:r>
        <w:rPr/>
        <w:t>. Santiago: Sociedad Chilena de Arqueología [Selección de materiales].</w:t>
      </w:r>
    </w:p>
    <w:p>
      <w:pPr>
        <w:pStyle w:val="style0"/>
        <w:spacing w:after="120" w:before="0" w:line="276" w:lineRule="auto"/>
        <w:jc w:val="both"/>
      </w:pPr>
      <w:r>
        <w:rPr/>
      </w:r>
    </w:p>
    <w:p>
      <w:pPr>
        <w:pStyle w:val="style0"/>
        <w:spacing w:after="120" w:before="0" w:line="276" w:lineRule="auto"/>
        <w:jc w:val="both"/>
      </w:pPr>
      <w:bookmarkStart w:id="0" w:name="_GoBack"/>
      <w:bookmarkEnd w:id="0"/>
      <w:r>
        <w:rPr>
          <w:b/>
        </w:rPr>
        <w:t>UNIDAD 3: Análisis de las fuentes de información. Especificidad y complementariedad</w:t>
      </w:r>
    </w:p>
    <w:p>
      <w:pPr>
        <w:pStyle w:val="style0"/>
        <w:spacing w:after="120" w:before="0" w:line="276" w:lineRule="auto"/>
        <w:jc w:val="both"/>
      </w:pPr>
      <w:r>
        <w:rPr/>
        <w:t xml:space="preserve">Desafíos de las fuentes de información y estrategias teórico-metodológicas para su abordaje. Reflexiones y propuestas en torno a las limitaciones, la posibilidad de articulación y la complementariedad de las fuentes. </w:t>
      </w:r>
    </w:p>
    <w:p>
      <w:pPr>
        <w:pStyle w:val="style0"/>
        <w:spacing w:after="120" w:before="0" w:line="276" w:lineRule="auto"/>
        <w:jc w:val="both"/>
      </w:pPr>
      <w:r>
        <w:rPr/>
      </w:r>
    </w:p>
    <w:p>
      <w:pPr>
        <w:pStyle w:val="style0"/>
        <w:spacing w:after="120" w:before="0" w:line="276" w:lineRule="auto"/>
        <w:jc w:val="both"/>
      </w:pPr>
      <w:r>
        <w:rPr>
          <w:u w:val="single"/>
        </w:rPr>
        <w:t>Bibliografía obligatoria</w:t>
      </w:r>
      <w:r>
        <w:rPr/>
        <w:t>:</w:t>
      </w:r>
    </w:p>
    <w:p>
      <w:pPr>
        <w:pStyle w:val="style0"/>
        <w:spacing w:after="120" w:before="0" w:line="276" w:lineRule="auto"/>
        <w:jc w:val="both"/>
      </w:pPr>
      <w:r>
        <w:rPr/>
        <w:t xml:space="preserve">Ardèvol, E., Estalella, A. y Domínguez, D. (coords.) (2008). Introducción. </w:t>
      </w:r>
      <w:r>
        <w:rPr>
          <w:i/>
        </w:rPr>
        <w:t>La mediación tecnológica en la práctica etnográfica</w:t>
      </w:r>
      <w:r>
        <w:rPr/>
        <w:t>. Gipuzkoa: Zorroaga. pp. 9-48.</w:t>
      </w:r>
    </w:p>
    <w:p>
      <w:pPr>
        <w:pStyle w:val="style0"/>
        <w:spacing w:after="120" w:before="0" w:line="276" w:lineRule="auto"/>
        <w:jc w:val="both"/>
      </w:pPr>
      <w:r>
        <w:rPr/>
        <w:t xml:space="preserve">Caballero, P (2010). De cómo el pasado prehispánico se volvió el pasado de todos los mexicanos. En: P. Escalante Gozalvo (coord.) </w:t>
      </w:r>
      <w:r>
        <w:rPr>
          <w:i/>
        </w:rPr>
        <w:t>La idea de nuestro patrimonio histórico y cultural</w:t>
      </w:r>
      <w:r>
        <w:rPr/>
        <w:t>. México D. F.: Consejo Nacional Para la Cultura y las Artes. pp. 137-152.</w:t>
      </w:r>
    </w:p>
    <w:p>
      <w:pPr>
        <w:pStyle w:val="style0"/>
        <w:spacing w:after="120" w:before="0" w:line="276" w:lineRule="auto"/>
        <w:jc w:val="both"/>
      </w:pPr>
      <w:r>
        <w:rPr>
          <w:color w:val="231F20"/>
        </w:rPr>
        <w:t xml:space="preserve">Casasbuenas Ortiz, M. (2014) Irrumpiendo en lo visible. Reflexiones sobre la práctica investigativa y las imágenes en red. </w:t>
      </w:r>
      <w:r>
        <w:rPr/>
        <w:t xml:space="preserve">En: C. Guarini y M. Gutiérrez (coord.) </w:t>
      </w:r>
      <w:r>
        <w:rPr>
          <w:i/>
        </w:rPr>
        <w:t>Antropología e Imagen. Pensar lo visual</w:t>
      </w:r>
      <w:r>
        <w:rPr/>
        <w:t>. Buenos Aires: Sans Soleil. pp 29-54.</w:t>
      </w:r>
    </w:p>
    <w:p>
      <w:pPr>
        <w:pStyle w:val="style0"/>
        <w:spacing w:after="120" w:before="0" w:line="276" w:lineRule="auto"/>
        <w:jc w:val="both"/>
      </w:pPr>
      <w:r>
        <w:rPr/>
        <w:t xml:space="preserve">Estruch, D. y Ramos, A. (2017). Registros audiovisuales y soportes virtuales en las formas de representación y movilización étnica. </w:t>
      </w:r>
      <w:r>
        <w:rPr>
          <w:i/>
          <w:shd w:fill="FFFFFF" w:val="clear"/>
        </w:rPr>
        <w:t>III Congreso Internacional: Nuevos Horizontes de Iberoamérica</w:t>
      </w:r>
      <w:r>
        <w:rPr>
          <w:shd w:fill="FFFFFF" w:val="clear"/>
        </w:rPr>
        <w:t>. Mendoza, Argentina.</w:t>
      </w:r>
    </w:p>
    <w:p>
      <w:pPr>
        <w:pStyle w:val="style0"/>
        <w:spacing w:after="120" w:before="0" w:line="276" w:lineRule="auto"/>
        <w:jc w:val="both"/>
      </w:pPr>
      <w:r>
        <w:rPr/>
        <w:t xml:space="preserve">Martínez, J. (2005). Imágenes y soportes andinos coloniales. Notas preliminares. </w:t>
      </w:r>
      <w:r>
        <w:rPr>
          <w:i/>
        </w:rPr>
        <w:t>Revista Chilena de Antropología Visua</w:t>
      </w:r>
      <w:r>
        <w:rPr/>
        <w:t>l 5: 113-132.</w:t>
      </w:r>
    </w:p>
    <w:p>
      <w:pPr>
        <w:pStyle w:val="style0"/>
        <w:spacing w:after="120" w:before="0" w:line="276" w:lineRule="auto"/>
        <w:jc w:val="both"/>
      </w:pPr>
      <w:r>
        <w:rPr/>
        <w:t xml:space="preserve">Pichardo Galán, J. (2008). Etnografía y nuevas tecnologías: reflexiones desde el terreno. En: E. Ardevol, A. Estalella y D. Domínguez (coord.) </w:t>
      </w:r>
      <w:r>
        <w:rPr>
          <w:i/>
        </w:rPr>
        <w:t>La mediación tecnológica en la práctica etnográfica</w:t>
      </w:r>
      <w:r>
        <w:rPr/>
        <w:t>. Gipuzkoa: Zorroaga. pp. 133-149.</w:t>
      </w:r>
    </w:p>
    <w:p>
      <w:pPr>
        <w:pStyle w:val="style0"/>
        <w:spacing w:after="120" w:before="0" w:line="276" w:lineRule="auto"/>
        <w:jc w:val="both"/>
      </w:pPr>
      <w:r>
        <w:rPr/>
        <w:t xml:space="preserve">Platt, T. (2013). Entre la rutina y la ruptura. El archivo como acontecimiento de terreno. En C. Zanolli; J. Costilla; D. Estruch y A. Ramos (comps.) </w:t>
      </w:r>
      <w:r>
        <w:rPr>
          <w:i/>
        </w:rPr>
        <w:t>Los estudios andinos hoy: práctica intelectual y estrategias de investigación</w:t>
      </w:r>
      <w:r>
        <w:rPr/>
        <w:t>. Rosario: Prohistoria. pp. 217-242.</w:t>
      </w:r>
    </w:p>
    <w:p>
      <w:pPr>
        <w:pStyle w:val="style0"/>
        <w:spacing w:after="120" w:before="0" w:line="276" w:lineRule="auto"/>
        <w:jc w:val="both"/>
      </w:pPr>
      <w:r>
        <w:rPr/>
        <w:t xml:space="preserve">Schijman, E. (2010). Etnografía de archivos administrativos. Un corpus de demandas y quejas menores en un barrio de vivienda social. </w:t>
      </w:r>
      <w:r>
        <w:rPr>
          <w:i/>
        </w:rPr>
        <w:t>Revista Colombiana de Antropología</w:t>
      </w:r>
      <w:r>
        <w:rPr/>
        <w:t xml:space="preserve"> 46 (2):  279-305.</w:t>
      </w:r>
    </w:p>
    <w:p>
      <w:pPr>
        <w:pStyle w:val="style0"/>
        <w:spacing w:after="120" w:before="0" w:line="276" w:lineRule="auto"/>
        <w:jc w:val="both"/>
      </w:pPr>
      <w:r>
        <w:rPr/>
      </w:r>
    </w:p>
    <w:p>
      <w:pPr>
        <w:pStyle w:val="style0"/>
        <w:spacing w:after="120" w:before="0" w:line="276" w:lineRule="auto"/>
        <w:jc w:val="both"/>
      </w:pPr>
      <w:r>
        <w:rPr>
          <w:u w:val="single"/>
        </w:rPr>
        <w:t>Bibliografía optativa</w:t>
      </w:r>
      <w:r>
        <w:rPr/>
        <w:t>:</w:t>
      </w:r>
    </w:p>
    <w:p>
      <w:pPr>
        <w:pStyle w:val="style0"/>
        <w:spacing w:after="120" w:before="0" w:line="276" w:lineRule="auto"/>
        <w:jc w:val="both"/>
      </w:pPr>
      <w:r>
        <w:rPr/>
        <w:t xml:space="preserve">Crespo, C. y M. Tozzini (2014). Memorias silenciadas y patrimonios ausentes en el Museo Histórico en El Hoyo, comarca andina del Paralelo 42º, Patagonia Argentina. </w:t>
      </w:r>
      <w:r>
        <w:rPr>
          <w:i/>
        </w:rPr>
        <w:t>Antípoda</w:t>
      </w:r>
      <w:r>
        <w:rPr/>
        <w:t xml:space="preserve">s 19: 21-44. </w:t>
      </w:r>
    </w:p>
    <w:p>
      <w:pPr>
        <w:pStyle w:val="style0"/>
        <w:spacing w:after="120" w:before="0" w:line="276" w:lineRule="auto"/>
        <w:jc w:val="both"/>
      </w:pPr>
      <w:r>
        <w:rPr>
          <w:color w:val="231F20"/>
        </w:rPr>
        <w:t xml:space="preserve">Gil, G. (2010). Etnografía, archivos y expertos. Apuntes para un estudio antropológico del pasado reciente. </w:t>
      </w:r>
      <w:r>
        <w:rPr>
          <w:i/>
        </w:rPr>
        <w:t>Revista Colombiana de Antropología</w:t>
      </w:r>
      <w:r>
        <w:rPr>
          <w:color w:val="231F20"/>
        </w:rPr>
        <w:t xml:space="preserve"> 46 (2): 249-278.</w:t>
      </w:r>
    </w:p>
    <w:p>
      <w:pPr>
        <w:pStyle w:val="style0"/>
        <w:spacing w:after="120" w:before="0" w:line="276" w:lineRule="auto"/>
        <w:jc w:val="both"/>
      </w:pPr>
      <w:r>
        <w:rPr/>
        <w:t xml:space="preserve">Giménez, S. (2016). </w:t>
      </w:r>
      <w:r>
        <w:rPr>
          <w:i/>
        </w:rPr>
        <w:t>Imágenes raciales en Buenos Aires. Una mirada desde la antropología histórica en torno a lo "negro" y lo "blanco" en la Galería de Ladrones de la Capital (1880-1887) y el semanario Caras y Caretas (1898-1905)</w:t>
      </w:r>
      <w:r>
        <w:rPr/>
        <w:t>.  Tesis de Licenciatura. Facultad de Filosofía y Letras, Universidad de Buenos Aires.</w:t>
      </w:r>
    </w:p>
    <w:p>
      <w:pPr>
        <w:pStyle w:val="style0"/>
        <w:spacing w:after="120" w:before="0" w:line="276" w:lineRule="auto"/>
        <w:jc w:val="both"/>
      </w:pPr>
      <w:r>
        <w:rPr/>
        <w:t xml:space="preserve">González Varela, S. (2012). Una mirada antropológica a la estética y personifcación de los objetos. El caso del berimbau en la capoeira angola en Brasil. </w:t>
      </w:r>
      <w:r>
        <w:rPr>
          <w:i/>
        </w:rPr>
        <w:t xml:space="preserve">Desacatos </w:t>
      </w:r>
      <w:r>
        <w:rPr/>
        <w:t>40: 127-140.</w:t>
      </w:r>
    </w:p>
    <w:p>
      <w:pPr>
        <w:pStyle w:val="style0"/>
        <w:spacing w:after="120" w:before="0" w:line="276" w:lineRule="auto"/>
        <w:jc w:val="both"/>
      </w:pPr>
      <w:r>
        <w:rPr/>
        <w:t xml:space="preserve">Muñoz Morán, O. (2010). Lo que nos dice la forma. Etnografía de los archivos locales indígenas. </w:t>
      </w:r>
      <w:r>
        <w:rPr>
          <w:i/>
        </w:rPr>
        <w:t>Revista Colombiana de Antropología</w:t>
      </w:r>
      <w:r>
        <w:rPr/>
        <w:t xml:space="preserve"> 46 ( 2): 353-377.</w:t>
      </w:r>
    </w:p>
    <w:p>
      <w:pPr>
        <w:pStyle w:val="style0"/>
        <w:spacing w:after="120" w:before="0" w:line="276" w:lineRule="auto"/>
        <w:jc w:val="both"/>
      </w:pPr>
      <w:r>
        <w:rPr>
          <w:color w:val="231F20"/>
        </w:rPr>
        <w:t xml:space="preserve">Podgorny, I. (1999) De la antigüedad del hombre en el Plata a la distribución de las antigüedades en el mapa: los criterios de organización de las colecciones antropológicas del Museo de la Plata entre 1897 y 1930. </w:t>
      </w:r>
      <w:r>
        <w:rPr>
          <w:i/>
          <w:color w:val="231F20"/>
        </w:rPr>
        <w:t>História, Ciências Saúde – Manguinhos</w:t>
      </w:r>
      <w:r>
        <w:rPr>
          <w:color w:val="231F20"/>
        </w:rPr>
        <w:t xml:space="preserve"> 1: 81-101</w:t>
      </w:r>
    </w:p>
    <w:p>
      <w:pPr>
        <w:pStyle w:val="style0"/>
        <w:spacing w:after="120" w:before="0" w:line="276" w:lineRule="auto"/>
        <w:jc w:val="both"/>
      </w:pPr>
      <w:r>
        <w:rPr>
          <w:color w:val="231F20"/>
        </w:rPr>
        <w:t xml:space="preserve">Sánchez, L. La representación de cuevas y montañas entre los mayas del período Clásico. Una reflexión desde la historia y la antropología de la imagen. </w:t>
      </w:r>
      <w:r>
        <w:rPr/>
        <w:t xml:space="preserve">En: C. Guarini y M. Gutiérrez (coord.) </w:t>
      </w:r>
      <w:r>
        <w:rPr>
          <w:i/>
        </w:rPr>
        <w:t>Antropología e Imagen. Pensar lo visual</w:t>
      </w:r>
      <w:r>
        <w:rPr/>
        <w:t>. Buenos Aires: Sans Soleil. pp. 88-109.</w:t>
      </w:r>
    </w:p>
    <w:p>
      <w:pPr>
        <w:pStyle w:val="style0"/>
        <w:spacing w:after="120" w:before="0" w:line="276" w:lineRule="auto"/>
        <w:jc w:val="both"/>
      </w:pPr>
      <w:r>
        <w:rPr/>
      </w:r>
    </w:p>
    <w:p>
      <w:pPr>
        <w:pStyle w:val="style0"/>
        <w:spacing w:after="120" w:before="0" w:line="276" w:lineRule="auto"/>
        <w:jc w:val="both"/>
      </w:pPr>
      <w:r>
        <w:rPr>
          <w:b/>
        </w:rPr>
        <w:t>UNIDAD 4: Prácticas de escritura orientada</w:t>
      </w:r>
    </w:p>
    <w:p>
      <w:pPr>
        <w:pStyle w:val="style0"/>
        <w:spacing w:after="120" w:before="0" w:line="276" w:lineRule="auto"/>
        <w:jc w:val="both"/>
      </w:pPr>
      <w:r>
        <w:rPr/>
        <w:t xml:space="preserve">De las fuentes de información a las prácticas de escritura. Medios de comunicación para la producción académica en Antropología. Géneros de escritura: ponencia, reseña, artículo y tesis. </w:t>
      </w:r>
    </w:p>
    <w:p>
      <w:pPr>
        <w:pStyle w:val="style0"/>
        <w:spacing w:after="120" w:before="0" w:line="276" w:lineRule="auto"/>
        <w:jc w:val="both"/>
      </w:pPr>
      <w:r>
        <w:rPr/>
      </w:r>
    </w:p>
    <w:p>
      <w:pPr>
        <w:pStyle w:val="style0"/>
        <w:spacing w:after="120" w:before="0" w:line="276" w:lineRule="auto"/>
        <w:jc w:val="both"/>
      </w:pPr>
      <w:r>
        <w:rPr>
          <w:u w:val="single"/>
        </w:rPr>
        <w:t>Bibliografía obligatoria</w:t>
      </w:r>
      <w:r>
        <w:rPr/>
        <w:t>:</w:t>
      </w:r>
    </w:p>
    <w:p>
      <w:pPr>
        <w:pStyle w:val="style0"/>
        <w:spacing w:after="120" w:before="0" w:line="276" w:lineRule="auto"/>
        <w:jc w:val="both"/>
      </w:pPr>
      <w:r>
        <w:rPr/>
        <w:t xml:space="preserve">Carlino, P. (2003). Alfabetización académica: un cambio necesario, algunas alternativas posibles. </w:t>
      </w:r>
      <w:r>
        <w:rPr>
          <w:i/>
        </w:rPr>
        <w:t>Educere</w:t>
      </w:r>
      <w:r>
        <w:rPr/>
        <w:t xml:space="preserve"> 6 (20): 409-420.</w:t>
      </w:r>
    </w:p>
    <w:p>
      <w:pPr>
        <w:pStyle w:val="style0"/>
        <w:spacing w:after="120" w:before="0" w:line="276" w:lineRule="auto"/>
        <w:jc w:val="both"/>
      </w:pPr>
      <w:r>
        <w:rPr/>
        <w:t xml:space="preserve">Fernández, L. y Bressia, R. (2009). </w:t>
      </w:r>
      <w:r>
        <w:rPr>
          <w:i/>
        </w:rPr>
        <w:t>Definiciones y características de los principales tipos de textos. La escritura académica en la Universidad</w:t>
      </w:r>
      <w:r>
        <w:rPr/>
        <w:t>. Buenos Aires: UCA, pp. 15.</w:t>
      </w:r>
    </w:p>
    <w:p>
      <w:pPr>
        <w:pStyle w:val="style0"/>
        <w:spacing w:after="120" w:before="0" w:line="276" w:lineRule="auto"/>
        <w:jc w:val="both"/>
      </w:pPr>
      <w:r>
        <w:rPr/>
        <w:t xml:space="preserve">Natale, L. (coord.) (2012). </w:t>
      </w:r>
      <w:r>
        <w:rPr>
          <w:i/>
        </w:rPr>
        <w:t xml:space="preserve">En Carrera: escritura y lectura de textos académicos y profesionales. </w:t>
      </w:r>
      <w:r>
        <w:rPr/>
        <w:t>Los Polvorines: UNGS. [Selección de capítulos].</w:t>
      </w:r>
    </w:p>
    <w:p>
      <w:pPr>
        <w:pStyle w:val="style0"/>
        <w:spacing w:after="120" w:before="0" w:line="276" w:lineRule="auto"/>
        <w:jc w:val="both"/>
      </w:pPr>
      <w:r>
        <w:rPr/>
        <w:t xml:space="preserve">Monnet, N. (2008) Tecnologías digitales y escritura etnográfica. En: E. Ardevol, A. Estalella y D. Domínguez (coord.) </w:t>
      </w:r>
      <w:r>
        <w:rPr>
          <w:i/>
        </w:rPr>
        <w:t>La mediación tecnológica en la práctica etnográfica</w:t>
      </w:r>
      <w:r>
        <w:rPr/>
        <w:t>. Gipuzkoa: Zorroaga. pp. 65-79.</w:t>
      </w:r>
    </w:p>
    <w:p>
      <w:pPr>
        <w:pStyle w:val="style0"/>
        <w:spacing w:after="120" w:before="0" w:line="276" w:lineRule="auto"/>
        <w:jc w:val="both"/>
      </w:pPr>
      <w:r>
        <w:rPr/>
        <w:t>Kahles, N. y Vila, E. (2012). Formas de citar. En Link, D.</w:t>
      </w:r>
      <w:r>
        <w:rPr>
          <w:i/>
        </w:rPr>
        <w:t xml:space="preserve"> </w:t>
      </w:r>
      <w:r>
        <w:rPr/>
        <w:t xml:space="preserve">(comp.) </w:t>
      </w:r>
      <w:r>
        <w:rPr>
          <w:i/>
        </w:rPr>
        <w:t>Citadme diciendo que me han citado mal</w:t>
      </w:r>
      <w:r>
        <w:rPr/>
        <w:t>. Buenos Aires: Edefyl. pp. 131-164.</w:t>
      </w:r>
    </w:p>
    <w:p>
      <w:pPr>
        <w:pStyle w:val="style0"/>
        <w:spacing w:after="120" w:before="0" w:line="276" w:lineRule="auto"/>
        <w:jc w:val="both"/>
      </w:pPr>
      <w:r>
        <w:rPr/>
        <w:t xml:space="preserve">Zayas, F. (2012). Los géneros discursivos y la enseñanza de la composición escrita. </w:t>
      </w:r>
      <w:r>
        <w:rPr>
          <w:i/>
        </w:rPr>
        <w:t>Revista Iberoamericana de Educación</w:t>
      </w:r>
      <w:r>
        <w:rPr/>
        <w:t xml:space="preserve"> 59: 63-85.</w:t>
      </w:r>
    </w:p>
    <w:p>
      <w:pPr>
        <w:pStyle w:val="style0"/>
        <w:spacing w:after="120" w:before="0" w:line="276" w:lineRule="auto"/>
        <w:jc w:val="both"/>
      </w:pPr>
      <w:r>
        <w:rPr/>
      </w:r>
    </w:p>
    <w:p>
      <w:pPr>
        <w:pStyle w:val="style0"/>
        <w:spacing w:after="120" w:before="0" w:line="276" w:lineRule="auto"/>
        <w:jc w:val="both"/>
      </w:pPr>
      <w:r>
        <w:rPr>
          <w:u w:val="single"/>
        </w:rPr>
        <w:t>Bibliografía optativa</w:t>
      </w:r>
      <w:r>
        <w:rPr/>
        <w:t>:</w:t>
      </w:r>
    </w:p>
    <w:p>
      <w:pPr>
        <w:pStyle w:val="style0"/>
        <w:spacing w:after="120" w:before="0" w:line="276" w:lineRule="auto"/>
        <w:jc w:val="both"/>
      </w:pPr>
      <w:r>
        <w:rPr/>
        <w:t xml:space="preserve">Barragán, R. (coord.) (2001). </w:t>
      </w:r>
      <w:r>
        <w:rPr>
          <w:i/>
        </w:rPr>
        <w:t>Formulación de proyectos de investigación</w:t>
      </w:r>
      <w:r>
        <w:rPr/>
        <w:t>. La Paz: PIEB.</w:t>
      </w:r>
    </w:p>
    <w:p>
      <w:pPr>
        <w:pStyle w:val="style0"/>
        <w:spacing w:after="120" w:before="0" w:line="276" w:lineRule="auto"/>
        <w:jc w:val="both"/>
      </w:pPr>
      <w:r>
        <w:rPr/>
        <w:t xml:space="preserve">Botta, M. y J. Warley. (2007) </w:t>
      </w:r>
      <w:r>
        <w:rPr>
          <w:i/>
        </w:rPr>
        <w:t>Tesis, tesinas, monografías e informes. Nuevas normas y técnicas de investigación</w:t>
      </w:r>
      <w:r>
        <w:rPr/>
        <w:t>. Buenos Aires: Biblios.</w:t>
      </w:r>
    </w:p>
    <w:p>
      <w:pPr>
        <w:pStyle w:val="style0"/>
        <w:spacing w:after="120" w:before="0" w:line="276" w:lineRule="auto"/>
        <w:jc w:val="both"/>
      </w:pPr>
      <w:r>
        <w:rPr/>
        <w:t xml:space="preserve">Carlino, P. (2005). </w:t>
      </w:r>
      <w:r>
        <w:rPr>
          <w:i/>
        </w:rPr>
        <w:t>Escribir, leer, y aprender en la universidad. Una introducción a la alfabetización académica</w:t>
      </w:r>
      <w:r>
        <w:rPr/>
        <w:t>. Buenos Aires: Fondo de Cultura Económica.</w:t>
      </w:r>
    </w:p>
    <w:p>
      <w:pPr>
        <w:pStyle w:val="style0"/>
        <w:spacing w:after="120" w:before="0" w:line="276" w:lineRule="auto"/>
        <w:jc w:val="both"/>
      </w:pPr>
      <w:r>
        <w:rPr/>
        <w:t xml:space="preserve">Domecq, M. (2014). </w:t>
      </w:r>
      <w:r>
        <w:rPr>
          <w:i/>
        </w:rPr>
        <w:t>Pensar-escribir-pensar. Apuntes para facilitar la escritura académica</w:t>
      </w:r>
      <w:r>
        <w:rPr/>
        <w:t>. Buenos Aires: Lugar.</w:t>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spacing w:after="120" w:before="0" w:line="276" w:lineRule="auto"/>
        <w:jc w:val="both"/>
      </w:pPr>
      <w:r>
        <w:rPr/>
      </w:r>
    </w:p>
    <w:p>
      <w:pPr>
        <w:pStyle w:val="style0"/>
        <w:pBdr/>
        <w:spacing w:after="120" w:before="0" w:line="276" w:lineRule="auto"/>
        <w:jc w:val="both"/>
      </w:pPr>
      <w:r>
        <w:rPr/>
        <w:t xml:space="preserve">Fernández Menéndez, M. (2009). La importancia de las referencias bibliográficas y las citas en la elaboración de documentos y trabajos científicos y/o académicos. </w:t>
      </w:r>
      <w:r>
        <w:rPr>
          <w:i/>
        </w:rPr>
        <w:t>Resonancias</w:t>
      </w:r>
      <w:r>
        <w:rPr/>
        <w:t>. 5: 22-26.</w:t>
      </w:r>
    </w:p>
    <w:p>
      <w:pPr>
        <w:pStyle w:val="style0"/>
        <w:pBdr/>
        <w:spacing w:after="120" w:before="0" w:line="276" w:lineRule="auto"/>
        <w:jc w:val="both"/>
      </w:pPr>
      <w:r>
        <w:rPr/>
        <w:t xml:space="preserve">Editores RP (2012). Editorial. La Indexación de las Revistas Científicas. </w:t>
      </w:r>
      <w:r>
        <w:rPr>
          <w:i/>
        </w:rPr>
        <w:t>Paradigma Revista Semestral</w:t>
      </w:r>
      <w:r>
        <w:rPr/>
        <w:t xml:space="preserve"> XXXIII (1):  5- 6. </w:t>
      </w:r>
    </w:p>
    <w:p>
      <w:pPr>
        <w:pStyle w:val="style0"/>
        <w:pBdr/>
        <w:spacing w:after="120" w:before="0" w:line="276" w:lineRule="auto"/>
        <w:jc w:val="both"/>
      </w:pPr>
      <w:r>
        <w:rPr/>
        <w:t>Nacuzzi, L. (2010). Principios básicos de entrenamiento en la investigación: la tesis de licenciatura</w:t>
      </w:r>
      <w:r>
        <w:rPr>
          <w:i/>
        </w:rPr>
        <w:t xml:space="preserve">. </w:t>
      </w:r>
      <w:r>
        <w:rPr/>
        <w:t>Buenos Aires: FFyL. Serie Libros de Cátedra.</w:t>
      </w:r>
    </w:p>
    <w:p>
      <w:pPr>
        <w:pStyle w:val="style0"/>
        <w:pBdr/>
        <w:spacing w:after="120" w:before="0" w:line="276" w:lineRule="auto"/>
        <w:jc w:val="both"/>
      </w:pPr>
      <w:r>
        <w:rPr/>
        <w:t xml:space="preserve">Robles, J. (2008). Publicaciones digitales: oportunidad y riesgo para la difusión de la producción etnográfica audiovisual. En: E. Ardevol, A. Estalella y D. Domínguez (coord.) </w:t>
      </w:r>
      <w:r>
        <w:rPr>
          <w:i/>
        </w:rPr>
        <w:t>La mediación tecnológica en la práctica etnográfica.</w:t>
      </w:r>
      <w:r>
        <w:rPr/>
        <w:t xml:space="preserve"> </w:t>
      </w:r>
      <w:r>
        <w:rPr>
          <w:lang w:val="en-US"/>
        </w:rPr>
        <w:t>Gipuzkoa: Zorroaga. pp. 81-97.</w:t>
      </w:r>
    </w:p>
    <w:p>
      <w:pPr>
        <w:pStyle w:val="style0"/>
        <w:pBdr/>
        <w:spacing w:after="120" w:before="0" w:line="276" w:lineRule="auto"/>
        <w:jc w:val="both"/>
      </w:pPr>
      <w:r>
        <w:rPr/>
        <w:t xml:space="preserve">Bauman, R. y Briggs, C. (1990). </w:t>
      </w:r>
      <w:r>
        <w:rPr>
          <w:lang w:val="en-US"/>
        </w:rPr>
        <w:t xml:space="preserve">Poetics and performance as critical perspectives in language and social life. </w:t>
      </w:r>
      <w:r>
        <w:rPr>
          <w:i/>
        </w:rPr>
        <w:t>Anual Review of Anthropology</w:t>
      </w:r>
      <w:r>
        <w:rPr/>
        <w:t xml:space="preserve"> 19: 59-88. </w:t>
      </w:r>
    </w:p>
    <w:p>
      <w:pPr>
        <w:pStyle w:val="style0"/>
        <w:pBdr/>
        <w:spacing w:after="120" w:before="0" w:line="276" w:lineRule="auto"/>
        <w:jc w:val="both"/>
      </w:pPr>
      <w:r>
        <w:rPr/>
      </w:r>
    </w:p>
    <w:p>
      <w:pPr>
        <w:pStyle w:val="style0"/>
        <w:pBdr/>
        <w:spacing w:after="120" w:before="0" w:line="276" w:lineRule="auto"/>
        <w:jc w:val="both"/>
      </w:pPr>
      <w:r>
        <w:rPr/>
        <w:t>4. ACTIVIDADES PLANIFICADAS</w:t>
      </w:r>
    </w:p>
    <w:p>
      <w:pPr>
        <w:pStyle w:val="style0"/>
        <w:pBdr/>
        <w:spacing w:after="120" w:before="0" w:line="276" w:lineRule="auto"/>
        <w:jc w:val="both"/>
      </w:pPr>
      <w:r>
        <w:rPr/>
        <w:t>El seminario se dictará con modalidad teórico-práctica:</w:t>
      </w:r>
    </w:p>
    <w:p>
      <w:pPr>
        <w:pStyle w:val="style0"/>
        <w:numPr>
          <w:ilvl w:val="0"/>
          <w:numId w:val="4"/>
        </w:numPr>
        <w:pBdr/>
        <w:spacing w:after="120" w:before="0" w:line="276" w:lineRule="auto"/>
        <w:jc w:val="both"/>
      </w:pPr>
      <w:r>
        <w:rPr/>
        <w:t>Discusión en clase en base a lecturas y material didáctico.</w:t>
      </w:r>
    </w:p>
    <w:p>
      <w:pPr>
        <w:pStyle w:val="style0"/>
        <w:numPr>
          <w:ilvl w:val="0"/>
          <w:numId w:val="4"/>
        </w:numPr>
        <w:pBdr/>
        <w:spacing w:after="120" w:before="0" w:line="276" w:lineRule="auto"/>
        <w:jc w:val="both"/>
      </w:pPr>
      <w:r>
        <w:rPr/>
        <w:t>Exposición de los estudiantes en base a lecturas de obras seleccionadas.</w:t>
      </w:r>
    </w:p>
    <w:p>
      <w:pPr>
        <w:pStyle w:val="style0"/>
        <w:numPr>
          <w:ilvl w:val="0"/>
          <w:numId w:val="4"/>
        </w:numPr>
        <w:pBdr/>
        <w:spacing w:after="120" w:before="0" w:line="276" w:lineRule="auto"/>
        <w:jc w:val="both"/>
      </w:pPr>
      <w:r>
        <w:rPr/>
        <w:t>Ejercitación en clase con fuentes provistas por los docentes.</w:t>
      </w:r>
    </w:p>
    <w:p>
      <w:pPr>
        <w:pStyle w:val="style0"/>
        <w:numPr>
          <w:ilvl w:val="0"/>
          <w:numId w:val="4"/>
        </w:numPr>
        <w:pBdr/>
        <w:spacing w:after="120" w:before="0" w:line="276" w:lineRule="auto"/>
        <w:jc w:val="both"/>
      </w:pPr>
      <w:r>
        <w:rPr/>
        <w:t>Ejercicios de búsqueda, análisis y comparación de fuentes de información.</w:t>
      </w:r>
    </w:p>
    <w:p>
      <w:pPr>
        <w:pStyle w:val="style0"/>
        <w:numPr>
          <w:ilvl w:val="0"/>
          <w:numId w:val="4"/>
        </w:numPr>
        <w:pBdr/>
        <w:spacing w:after="120" w:before="0" w:line="276" w:lineRule="auto"/>
        <w:jc w:val="both"/>
      </w:pPr>
      <w:r>
        <w:rPr/>
        <w:t>Prácticas de escritura.</w:t>
      </w:r>
    </w:p>
    <w:p>
      <w:pPr>
        <w:pStyle w:val="style0"/>
        <w:numPr>
          <w:ilvl w:val="0"/>
          <w:numId w:val="4"/>
        </w:numPr>
        <w:pBdr/>
        <w:spacing w:after="120" w:before="0" w:line="276" w:lineRule="auto"/>
        <w:jc w:val="both"/>
      </w:pPr>
      <w:r>
        <w:rPr/>
        <w:t>Elección de un tema para el trabajo final.</w:t>
      </w:r>
    </w:p>
    <w:p>
      <w:pPr>
        <w:pStyle w:val="style0"/>
        <w:pBdr/>
        <w:spacing w:after="120" w:before="0" w:line="276" w:lineRule="auto"/>
        <w:jc w:val="both"/>
      </w:pPr>
      <w:r>
        <w:rPr/>
        <w:t>5. REGULARIDAD Y FORMAS DE EVALUACIÓN</w:t>
      </w:r>
    </w:p>
    <w:p>
      <w:pPr>
        <w:pStyle w:val="style0"/>
        <w:numPr>
          <w:ilvl w:val="0"/>
          <w:numId w:val="3"/>
        </w:numPr>
        <w:pBdr/>
        <w:spacing w:after="120" w:before="0" w:line="276" w:lineRule="auto"/>
        <w:jc w:val="both"/>
      </w:pPr>
      <w:r>
        <w:rPr/>
        <w:t>Asistencia al 80% de las clases.</w:t>
      </w:r>
    </w:p>
    <w:p>
      <w:pPr>
        <w:pStyle w:val="style0"/>
        <w:numPr>
          <w:ilvl w:val="0"/>
          <w:numId w:val="3"/>
        </w:numPr>
        <w:pBdr/>
        <w:spacing w:after="120" w:before="0" w:line="276" w:lineRule="auto"/>
        <w:jc w:val="both"/>
      </w:pPr>
      <w:r>
        <w:rPr/>
        <w:t>Lectura y exposición de material bibliográfico previamente asignado.</w:t>
      </w:r>
    </w:p>
    <w:p>
      <w:pPr>
        <w:pStyle w:val="style0"/>
        <w:numPr>
          <w:ilvl w:val="0"/>
          <w:numId w:val="3"/>
        </w:numPr>
        <w:pBdr/>
        <w:spacing w:after="120" w:before="0" w:line="276" w:lineRule="auto"/>
        <w:jc w:val="both"/>
      </w:pPr>
      <w:r>
        <w:rPr/>
        <w:t>Informe de relevamiento de fuentes.</w:t>
      </w:r>
    </w:p>
    <w:p>
      <w:pPr>
        <w:pStyle w:val="style0"/>
        <w:numPr>
          <w:ilvl w:val="0"/>
          <w:numId w:val="3"/>
        </w:numPr>
        <w:pBdr/>
        <w:spacing w:after="120" w:before="0" w:line="276" w:lineRule="auto"/>
        <w:jc w:val="both"/>
      </w:pPr>
      <w:r>
        <w:rPr/>
        <w:t>Trabajo práctico de escritura.</w:t>
      </w:r>
    </w:p>
    <w:p>
      <w:pPr>
        <w:pStyle w:val="style0"/>
        <w:numPr>
          <w:ilvl w:val="0"/>
          <w:numId w:val="3"/>
        </w:numPr>
        <w:pBdr/>
        <w:spacing w:after="120" w:before="0" w:line="276" w:lineRule="auto"/>
        <w:jc w:val="both"/>
      </w:pPr>
      <w:r>
        <w:rPr/>
        <w:t>Trabajo final monográfico</w:t>
      </w:r>
    </w:p>
    <w:p>
      <w:pPr>
        <w:pStyle w:val="style0"/>
        <w:numPr>
          <w:ilvl w:val="0"/>
          <w:numId w:val="3"/>
        </w:numPr>
        <w:pBdr/>
        <w:spacing w:after="120" w:before="0" w:line="276" w:lineRule="auto"/>
        <w:jc w:val="both"/>
      </w:pPr>
      <w:r>
        <w:rPr/>
        <w:t>Nota promedio final no inferior a 4 (cuatro).</w:t>
      </w:r>
    </w:p>
    <w:sectPr>
      <w:footnotePr>
        <w:numFmt w:val="decimal"/>
      </w:footnote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OpenSymbol">
    <w:altName w:val="Arial Unicode MS"/>
    <w:charset w:val="80"/>
    <w:family w:val="auto"/>
    <w:pitch w:val="variable"/>
  </w:font>
</w:fonts>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0"/>
        <w:jc w:val="both"/>
      </w:pPr>
      <w:r>
        <w:rPr>
          <w:sz w:val="20"/>
          <w:szCs w:val="20"/>
          <w:vertAlign w:val="superscript"/>
        </w:rPr>
        <w:footnoteRef/>
        <w:tab/>
      </w:r>
      <w:r>
        <w:rPr>
          <w:sz w:val="20"/>
          <w:szCs w:val="20"/>
          <w:vertAlign w:val="superscript"/>
        </w:rPr>
        <w:tab/>
        <w:tab/>
      </w:r>
      <w:r>
        <w:rPr>
          <w:sz w:val="20"/>
          <w:szCs w:val="20"/>
        </w:rPr>
        <w:t xml:space="preserve"> Dra. en Antropología. Becaria Posdoctoral de CONICET </w:t>
      </w:r>
      <w:r>
        <w:rPr>
          <w:rFonts w:eastAsia="Calibri"/>
          <w:sz w:val="20"/>
          <w:szCs w:val="20"/>
        </w:rPr>
        <w:t>/ Sección Etnohistoria, ICA, FFyL, UBA. Integrante del UBACyT 2014-2017 238BA. Ayudante de primera interina en la materia Metodología y Técnicas de la Investigación de Campo.</w:t>
      </w:r>
    </w:p>
  </w:footnote>
  <w:footnote w:id="3">
    <w:p>
      <w:pPr>
        <w:pStyle w:val="style36"/>
      </w:pPr>
      <w:r>
        <w:rPr/>
        <w:footnoteRef/>
        <w:tab/>
      </w:r>
    </w:p>
  </w:footnote>
</w:footnote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360" w:left="720"/>
      </w:pPr>
      <w:rPr>
        <w:u w:val="none"/>
      </w:rPr>
    </w:lvl>
    <w:lvl w:ilvl="1">
      <w:start w:val="1"/>
      <w:numFmt w:val="lowerLetter"/>
      <w:lvlText w:val="%2."/>
      <w:lvlJc w:val="left"/>
      <w:pPr>
        <w:ind w:hanging="360" w:left="1440"/>
      </w:pPr>
      <w:rPr>
        <w:u w:val="none"/>
      </w:rPr>
    </w:lvl>
    <w:lvl w:ilvl="2">
      <w:start w:val="1"/>
      <w:numFmt w:val="lowerRoman"/>
      <w:lvlText w:val="%3."/>
      <w:lvlJc w:val="right"/>
      <w:pPr>
        <w:ind w:hanging="360" w:left="2160"/>
      </w:pPr>
      <w:rPr>
        <w:u w:val="none"/>
      </w:rPr>
    </w:lvl>
    <w:lvl w:ilvl="3">
      <w:start w:val="1"/>
      <w:numFmt w:val="decimal"/>
      <w:lvlText w:val="%4."/>
      <w:lvlJc w:val="left"/>
      <w:pPr>
        <w:ind w:hanging="360" w:left="2880"/>
      </w:pPr>
      <w:rPr>
        <w:u w:val="none"/>
      </w:rPr>
    </w:lvl>
    <w:lvl w:ilvl="4">
      <w:start w:val="1"/>
      <w:numFmt w:val="lowerLetter"/>
      <w:lvlText w:val="%5."/>
      <w:lvlJc w:val="left"/>
      <w:pPr>
        <w:ind w:hanging="360" w:left="3600"/>
      </w:pPr>
      <w:rPr>
        <w:u w:val="none"/>
      </w:rPr>
    </w:lvl>
    <w:lvl w:ilvl="5">
      <w:start w:val="1"/>
      <w:numFmt w:val="lowerRoman"/>
      <w:lvlText w:val="%6."/>
      <w:lvlJc w:val="right"/>
      <w:pPr>
        <w:ind w:hanging="360" w:left="4320"/>
      </w:pPr>
      <w:rPr>
        <w:u w:val="none"/>
      </w:rPr>
    </w:lvl>
    <w:lvl w:ilvl="6">
      <w:start w:val="1"/>
      <w:numFmt w:val="decimal"/>
      <w:lvlText w:val="%7."/>
      <w:lvlJc w:val="left"/>
      <w:pPr>
        <w:ind w:hanging="360" w:left="5040"/>
      </w:pPr>
      <w:rPr>
        <w:u w:val="none"/>
      </w:rPr>
    </w:lvl>
    <w:lvl w:ilvl="7">
      <w:start w:val="1"/>
      <w:numFmt w:val="lowerLetter"/>
      <w:lvlText w:val="%8."/>
      <w:lvlJc w:val="left"/>
      <w:pPr>
        <w:ind w:hanging="360" w:left="5760"/>
      </w:pPr>
      <w:rPr>
        <w:u w:val="none"/>
      </w:rPr>
    </w:lvl>
    <w:lvl w:ilvl="8">
      <w:start w:val="1"/>
      <w:numFmt w:val="lowerRoman"/>
      <w:lvlText w:val="%9."/>
      <w:lvlJc w:val="right"/>
      <w:pPr>
        <w:ind w:hanging="360" w:left="6480"/>
      </w:pPr>
      <w:rPr>
        <w:u w:val="none"/>
      </w:rPr>
    </w:lvl>
  </w:abstractNum>
  <w:abstractNum w:abstractNumId="3">
    <w:lvl w:ilvl="0">
      <w:start w:val="1"/>
      <w:numFmt w:val="bullet"/>
      <w:lvlText w:val="-"/>
      <w:lvlJc w:val="left"/>
      <w:pPr>
        <w:ind w:hanging="360" w:left="720"/>
      </w:pPr>
      <w:rPr>
        <w:rFonts w:ascii="OpenSymbol" w:cs="OpenSymbol" w:hAnsi="OpenSymbol" w:hint="default"/>
        <w:u w:val="none"/>
      </w:rPr>
    </w:lvl>
    <w:lvl w:ilvl="1">
      <w:start w:val="1"/>
      <w:numFmt w:val="bullet"/>
      <w:lvlText w:val="-"/>
      <w:lvlJc w:val="left"/>
      <w:pPr>
        <w:ind w:hanging="360" w:left="1440"/>
      </w:pPr>
      <w:rPr>
        <w:rFonts w:ascii="OpenSymbol" w:cs="OpenSymbol" w:hAnsi="OpenSymbol" w:hint="default"/>
        <w:u w:val="none"/>
      </w:rPr>
    </w:lvl>
    <w:lvl w:ilvl="2">
      <w:start w:val="1"/>
      <w:numFmt w:val="bullet"/>
      <w:lvlText w:val="-"/>
      <w:lvlJc w:val="left"/>
      <w:pPr>
        <w:ind w:hanging="360" w:left="2160"/>
      </w:pPr>
      <w:rPr>
        <w:rFonts w:ascii="OpenSymbol" w:cs="OpenSymbol" w:hAnsi="OpenSymbol" w:hint="default"/>
        <w:u w:val="none"/>
      </w:rPr>
    </w:lvl>
    <w:lvl w:ilvl="3">
      <w:start w:val="1"/>
      <w:numFmt w:val="bullet"/>
      <w:lvlText w:val="-"/>
      <w:lvlJc w:val="left"/>
      <w:pPr>
        <w:ind w:hanging="360" w:left="2880"/>
      </w:pPr>
      <w:rPr>
        <w:rFonts w:ascii="OpenSymbol" w:cs="OpenSymbol" w:hAnsi="OpenSymbol" w:hint="default"/>
        <w:u w:val="none"/>
      </w:rPr>
    </w:lvl>
    <w:lvl w:ilvl="4">
      <w:start w:val="1"/>
      <w:numFmt w:val="bullet"/>
      <w:lvlText w:val="-"/>
      <w:lvlJc w:val="left"/>
      <w:pPr>
        <w:ind w:hanging="360" w:left="3600"/>
      </w:pPr>
      <w:rPr>
        <w:rFonts w:ascii="OpenSymbol" w:cs="OpenSymbol" w:hAnsi="OpenSymbol" w:hint="default"/>
        <w:u w:val="none"/>
      </w:rPr>
    </w:lvl>
    <w:lvl w:ilvl="5">
      <w:start w:val="1"/>
      <w:numFmt w:val="bullet"/>
      <w:lvlText w:val="-"/>
      <w:lvlJc w:val="left"/>
      <w:pPr>
        <w:ind w:hanging="360" w:left="4320"/>
      </w:pPr>
      <w:rPr>
        <w:rFonts w:ascii="OpenSymbol" w:cs="OpenSymbol" w:hAnsi="OpenSymbol" w:hint="default"/>
        <w:u w:val="none"/>
      </w:rPr>
    </w:lvl>
    <w:lvl w:ilvl="6">
      <w:start w:val="1"/>
      <w:numFmt w:val="bullet"/>
      <w:lvlText w:val="-"/>
      <w:lvlJc w:val="left"/>
      <w:pPr>
        <w:ind w:hanging="360" w:left="5040"/>
      </w:pPr>
      <w:rPr>
        <w:rFonts w:ascii="OpenSymbol" w:cs="OpenSymbol" w:hAnsi="OpenSymbol" w:hint="default"/>
        <w:u w:val="none"/>
      </w:rPr>
    </w:lvl>
    <w:lvl w:ilvl="7">
      <w:start w:val="1"/>
      <w:numFmt w:val="bullet"/>
      <w:lvlText w:val="-"/>
      <w:lvlJc w:val="left"/>
      <w:pPr>
        <w:ind w:hanging="360" w:left="5760"/>
      </w:pPr>
      <w:rPr>
        <w:rFonts w:ascii="OpenSymbol" w:cs="OpenSymbol" w:hAnsi="OpenSymbol" w:hint="default"/>
        <w:u w:val="none"/>
      </w:rPr>
    </w:lvl>
    <w:lvl w:ilvl="8">
      <w:start w:val="1"/>
      <w:numFmt w:val="bullet"/>
      <w:lvlText w:val="-"/>
      <w:lvlJc w:val="left"/>
      <w:pPr>
        <w:ind w:hanging="360" w:left="6480"/>
      </w:pPr>
      <w:rPr>
        <w:rFonts w:ascii="OpenSymbol" w:cs="OpenSymbol" w:hAnsi="OpenSymbol" w:hint="default"/>
        <w:u w:val="none"/>
      </w:rPr>
    </w:lvl>
  </w:abstractNum>
  <w:abstractNum w:abstractNumId="4">
    <w:lvl w:ilvl="0">
      <w:start w:val="1"/>
      <w:numFmt w:val="bullet"/>
      <w:lvlText w:val="-"/>
      <w:lvlJc w:val="left"/>
      <w:pPr>
        <w:ind w:hanging="360" w:left="720"/>
      </w:pPr>
      <w:rPr>
        <w:rFonts w:ascii="OpenSymbol" w:cs="OpenSymbol" w:hAnsi="OpenSymbol" w:hint="default"/>
        <w:u w:val="none"/>
      </w:rPr>
    </w:lvl>
    <w:lvl w:ilvl="1">
      <w:start w:val="1"/>
      <w:numFmt w:val="bullet"/>
      <w:lvlText w:val="-"/>
      <w:lvlJc w:val="left"/>
      <w:pPr>
        <w:ind w:hanging="360" w:left="1440"/>
      </w:pPr>
      <w:rPr>
        <w:rFonts w:ascii="OpenSymbol" w:cs="OpenSymbol" w:hAnsi="OpenSymbol" w:hint="default"/>
        <w:u w:val="none"/>
      </w:rPr>
    </w:lvl>
    <w:lvl w:ilvl="2">
      <w:start w:val="1"/>
      <w:numFmt w:val="bullet"/>
      <w:lvlText w:val="-"/>
      <w:lvlJc w:val="left"/>
      <w:pPr>
        <w:ind w:hanging="360" w:left="2160"/>
      </w:pPr>
      <w:rPr>
        <w:rFonts w:ascii="OpenSymbol" w:cs="OpenSymbol" w:hAnsi="OpenSymbol" w:hint="default"/>
        <w:u w:val="none"/>
      </w:rPr>
    </w:lvl>
    <w:lvl w:ilvl="3">
      <w:start w:val="1"/>
      <w:numFmt w:val="bullet"/>
      <w:lvlText w:val="-"/>
      <w:lvlJc w:val="left"/>
      <w:pPr>
        <w:ind w:hanging="360" w:left="2880"/>
      </w:pPr>
      <w:rPr>
        <w:rFonts w:ascii="OpenSymbol" w:cs="OpenSymbol" w:hAnsi="OpenSymbol" w:hint="default"/>
        <w:u w:val="none"/>
      </w:rPr>
    </w:lvl>
    <w:lvl w:ilvl="4">
      <w:start w:val="1"/>
      <w:numFmt w:val="bullet"/>
      <w:lvlText w:val="-"/>
      <w:lvlJc w:val="left"/>
      <w:pPr>
        <w:ind w:hanging="360" w:left="3600"/>
      </w:pPr>
      <w:rPr>
        <w:rFonts w:ascii="OpenSymbol" w:cs="OpenSymbol" w:hAnsi="OpenSymbol" w:hint="default"/>
        <w:u w:val="none"/>
      </w:rPr>
    </w:lvl>
    <w:lvl w:ilvl="5">
      <w:start w:val="1"/>
      <w:numFmt w:val="bullet"/>
      <w:lvlText w:val="-"/>
      <w:lvlJc w:val="left"/>
      <w:pPr>
        <w:ind w:hanging="360" w:left="4320"/>
      </w:pPr>
      <w:rPr>
        <w:rFonts w:ascii="OpenSymbol" w:cs="OpenSymbol" w:hAnsi="OpenSymbol" w:hint="default"/>
        <w:u w:val="none"/>
      </w:rPr>
    </w:lvl>
    <w:lvl w:ilvl="6">
      <w:start w:val="1"/>
      <w:numFmt w:val="bullet"/>
      <w:lvlText w:val="-"/>
      <w:lvlJc w:val="left"/>
      <w:pPr>
        <w:ind w:hanging="360" w:left="5040"/>
      </w:pPr>
      <w:rPr>
        <w:rFonts w:ascii="OpenSymbol" w:cs="OpenSymbol" w:hAnsi="OpenSymbol" w:hint="default"/>
        <w:u w:val="none"/>
      </w:rPr>
    </w:lvl>
    <w:lvl w:ilvl="7">
      <w:start w:val="1"/>
      <w:numFmt w:val="bullet"/>
      <w:lvlText w:val="-"/>
      <w:lvlJc w:val="left"/>
      <w:pPr>
        <w:ind w:hanging="360" w:left="5760"/>
      </w:pPr>
      <w:rPr>
        <w:rFonts w:ascii="OpenSymbol" w:cs="OpenSymbol" w:hAnsi="OpenSymbol" w:hint="default"/>
        <w:u w:val="none"/>
      </w:rPr>
    </w:lvl>
    <w:lvl w:ilvl="8">
      <w:start w:val="1"/>
      <w:numFmt w:val="bullet"/>
      <w:lvlText w:val="-"/>
      <w:lvlJc w:val="left"/>
      <w:pPr>
        <w:ind w:hanging="360" w:left="6480"/>
      </w:pPr>
      <w:rPr>
        <w:rFonts w:ascii="OpenSymbol" w:cs="OpenSymbol" w:hAnsi="OpenSymbol" w:hint="default"/>
        <w:u w:val="none"/>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footnotePr>
    <w:numFmt w:val="decimal"/>
    <w:footnote w:id="0"/>
    <w:footnote w:id="1"/>
  </w:footnotePr>
</w:settings>
</file>

<file path=word/styles.xml><?xml version="1.0" encoding="utf-8"?>
<w:styles xmlns:w="http://schemas.openxmlformats.org/wordprocessingml/2006/main">
  <w:style w:styleId="style0" w:type="paragraph">
    <w:name w:val="Predeterminado"/>
    <w:next w:val="style0"/>
    <w:pPr>
      <w:widowControl/>
      <w:pBdr>
        <w:top w:color="000001" w:space="0" w:sz="6" w:val="single"/>
        <w:left w:color="000001" w:space="0" w:sz="6" w:val="single"/>
        <w:bottom w:color="000001" w:space="0" w:sz="6" w:val="single"/>
        <w:right w:color="000001" w:space="0" w:sz="6" w:val="single"/>
      </w:pBdr>
      <w:tabs>
        <w:tab w:leader="none" w:pos="720" w:val="left"/>
      </w:tabs>
      <w:suppressAutoHyphens w:val="true"/>
      <w:jc w:val="center"/>
    </w:pPr>
    <w:rPr>
      <w:rFonts w:ascii="Arial" w:cs="Arial" w:eastAsia="Arial" w:hAnsi="Arial"/>
      <w:color w:val="00000A"/>
      <w:sz w:val="24"/>
      <w:szCs w:val="24"/>
      <w:lang w:bidi="ar-SA" w:eastAsia="es-AR" w:val="es-AR"/>
    </w:rPr>
  </w:style>
  <w:style w:styleId="style1" w:type="paragraph">
    <w:name w:val="Encabezado 1"/>
    <w:basedOn w:val="style0"/>
    <w:next w:val="style28"/>
    <w:pPr>
      <w:keepNext/>
      <w:keepLines/>
      <w:spacing w:after="120" w:before="400"/>
    </w:pPr>
    <w:rPr>
      <w:b/>
      <w:bCs/>
      <w:sz w:val="40"/>
      <w:szCs w:val="40"/>
    </w:rPr>
  </w:style>
  <w:style w:styleId="style2" w:type="paragraph">
    <w:name w:val="Encabezado 2"/>
    <w:basedOn w:val="style0"/>
    <w:next w:val="style28"/>
    <w:pPr>
      <w:keepNext/>
      <w:keepLines/>
      <w:numPr>
        <w:ilvl w:val="1"/>
        <w:numId w:val="1"/>
      </w:numPr>
      <w:spacing w:after="120" w:before="360"/>
      <w:outlineLvl w:val="1"/>
    </w:pPr>
    <w:rPr>
      <w:b/>
      <w:bCs/>
      <w:i/>
      <w:iCs/>
      <w:sz w:val="32"/>
      <w:szCs w:val="32"/>
    </w:rPr>
  </w:style>
  <w:style w:styleId="style3" w:type="paragraph">
    <w:name w:val="Encabezado 3"/>
    <w:basedOn w:val="style0"/>
    <w:next w:val="style28"/>
    <w:pPr>
      <w:keepNext/>
      <w:keepLines/>
      <w:numPr>
        <w:ilvl w:val="2"/>
        <w:numId w:val="1"/>
      </w:numPr>
      <w:spacing w:after="80" w:before="320"/>
      <w:outlineLvl w:val="2"/>
    </w:pPr>
    <w:rPr>
      <w:b/>
      <w:bCs/>
      <w:color w:val="434343"/>
      <w:sz w:val="28"/>
      <w:szCs w:val="28"/>
    </w:rPr>
  </w:style>
  <w:style w:styleId="style4" w:type="paragraph">
    <w:name w:val="Encabezado 4"/>
    <w:basedOn w:val="style0"/>
    <w:next w:val="style28"/>
    <w:pPr>
      <w:keepNext/>
      <w:keepLines/>
      <w:numPr>
        <w:ilvl w:val="3"/>
        <w:numId w:val="1"/>
      </w:numPr>
      <w:spacing w:after="80" w:before="280"/>
      <w:outlineLvl w:val="3"/>
    </w:pPr>
    <w:rPr>
      <w:b/>
      <w:bCs/>
      <w:i/>
      <w:iCs/>
      <w:color w:val="666666"/>
      <w:sz w:val="20"/>
      <w:szCs w:val="20"/>
    </w:rPr>
  </w:style>
  <w:style w:styleId="style5" w:type="paragraph">
    <w:name w:val="Encabezado 5"/>
    <w:basedOn w:val="style0"/>
    <w:next w:val="style28"/>
    <w:pPr>
      <w:keepNext/>
      <w:keepLines/>
      <w:numPr>
        <w:ilvl w:val="4"/>
        <w:numId w:val="1"/>
      </w:numPr>
      <w:spacing w:after="80" w:before="240"/>
      <w:outlineLvl w:val="4"/>
    </w:pPr>
    <w:rPr>
      <w:b/>
      <w:bCs/>
      <w:color w:val="666666"/>
      <w:sz w:val="22"/>
      <w:szCs w:val="22"/>
    </w:rPr>
  </w:style>
  <w:style w:styleId="style6" w:type="paragraph">
    <w:name w:val="Encabezado 6"/>
    <w:basedOn w:val="style0"/>
    <w:next w:val="style28"/>
    <w:pPr>
      <w:keepNext/>
      <w:keepLines/>
      <w:numPr>
        <w:ilvl w:val="5"/>
        <w:numId w:val="1"/>
      </w:numPr>
      <w:spacing w:after="80" w:before="240"/>
      <w:outlineLvl w:val="5"/>
    </w:pPr>
    <w:rPr>
      <w:b/>
      <w:bCs/>
      <w:i/>
      <w:color w:val="666666"/>
      <w:sz w:val="22"/>
      <w:szCs w:val="22"/>
    </w:rPr>
  </w:style>
  <w:style w:styleId="style15" w:type="character">
    <w:name w:val="Default Paragraph Font"/>
    <w:next w:val="style15"/>
    <w:rPr/>
  </w:style>
  <w:style w:styleId="style16" w:type="character">
    <w:name w:val="Encabezado Car"/>
    <w:basedOn w:val="style15"/>
    <w:next w:val="style16"/>
    <w:rPr/>
  </w:style>
  <w:style w:styleId="style17" w:type="character">
    <w:name w:val="Pie de página Car"/>
    <w:basedOn w:val="style15"/>
    <w:next w:val="style17"/>
    <w:rPr/>
  </w:style>
  <w:style w:styleId="style18" w:type="character">
    <w:name w:val="ListLabel 1"/>
    <w:next w:val="style18"/>
    <w:rPr>
      <w:u w:val="none"/>
    </w:rPr>
  </w:style>
  <w:style w:styleId="style19" w:type="character">
    <w:name w:val="Ancla de nota al pie"/>
    <w:next w:val="style19"/>
    <w:rPr>
      <w:vertAlign w:val="superscript"/>
    </w:rPr>
  </w:style>
  <w:style w:styleId="style20" w:type="character">
    <w:name w:val="Ancla de nota final"/>
    <w:next w:val="style20"/>
    <w:rPr>
      <w:vertAlign w:val="superscript"/>
    </w:rPr>
  </w:style>
  <w:style w:styleId="style21" w:type="character">
    <w:name w:val="ListLabel 2"/>
    <w:next w:val="style21"/>
    <w:rPr>
      <w:u w:val="none"/>
    </w:rPr>
  </w:style>
  <w:style w:styleId="style22" w:type="character">
    <w:name w:val="ListLabel 3"/>
    <w:next w:val="style22"/>
    <w:rPr>
      <w:rFonts w:cs="OpenSymbol"/>
      <w:u w:val="none"/>
    </w:rPr>
  </w:style>
  <w:style w:styleId="style23" w:type="character">
    <w:name w:val="ListLabel 4"/>
    <w:next w:val="style23"/>
    <w:rPr>
      <w:u w:val="none"/>
    </w:rPr>
  </w:style>
  <w:style w:styleId="style24" w:type="character">
    <w:name w:val="ListLabel 5"/>
    <w:next w:val="style24"/>
    <w:rPr>
      <w:rFonts w:cs="OpenSymbol"/>
      <w:u w:val="none"/>
    </w:rPr>
  </w:style>
  <w:style w:styleId="style25" w:type="character">
    <w:name w:val="Caracteres de nota al pie"/>
    <w:next w:val="style25"/>
    <w:rPr/>
  </w:style>
  <w:style w:styleId="style26" w:type="character">
    <w:name w:val="Caracteres de nota final"/>
    <w:next w:val="style26"/>
    <w:rPr/>
  </w:style>
  <w:style w:styleId="style27" w:type="paragraph">
    <w:name w:val="Encabezado"/>
    <w:basedOn w:val="style0"/>
    <w:next w:val="style28"/>
    <w:pPr>
      <w:keepNext/>
      <w:spacing w:after="120" w:before="240"/>
    </w:pPr>
    <w:rPr>
      <w:rFonts w:ascii="Liberation Sans" w:cs="FreeSans" w:eastAsia="Droid Sans" w:hAnsi="Liberation Sans"/>
      <w:sz w:val="28"/>
      <w:szCs w:val="28"/>
    </w:rPr>
  </w:style>
  <w:style w:styleId="style28" w:type="paragraph">
    <w:name w:val="Cuerpo de texto"/>
    <w:basedOn w:val="style0"/>
    <w:next w:val="style28"/>
    <w:pPr>
      <w:spacing w:after="120" w:before="0"/>
    </w:pPr>
    <w:rPr/>
  </w:style>
  <w:style w:styleId="style29" w:type="paragraph">
    <w:name w:val="Lista"/>
    <w:basedOn w:val="style28"/>
    <w:next w:val="style29"/>
    <w:pPr/>
    <w:rPr>
      <w:rFonts w:cs="FreeSans"/>
    </w:rPr>
  </w:style>
  <w:style w:styleId="style30" w:type="paragraph">
    <w:name w:val="Etiqueta"/>
    <w:basedOn w:val="style0"/>
    <w:next w:val="style30"/>
    <w:pPr>
      <w:suppressLineNumbers/>
      <w:spacing w:after="120" w:before="120"/>
    </w:pPr>
    <w:rPr>
      <w:rFonts w:cs="FreeSans"/>
      <w:i/>
      <w:iCs/>
      <w:sz w:val="24"/>
      <w:szCs w:val="24"/>
    </w:rPr>
  </w:style>
  <w:style w:styleId="style31" w:type="paragraph">
    <w:name w:val="Índice"/>
    <w:basedOn w:val="style0"/>
    <w:next w:val="style31"/>
    <w:pPr>
      <w:suppressLineNumbers/>
    </w:pPr>
    <w:rPr>
      <w:rFonts w:cs="FreeSans"/>
    </w:rPr>
  </w:style>
  <w:style w:styleId="style32" w:type="paragraph">
    <w:name w:val="Título"/>
    <w:basedOn w:val="style0"/>
    <w:next w:val="style33"/>
    <w:pPr>
      <w:keepNext/>
      <w:keepLines/>
      <w:spacing w:after="60" w:before="0"/>
      <w:jc w:val="center"/>
    </w:pPr>
    <w:rPr>
      <w:b/>
      <w:bCs/>
      <w:sz w:val="52"/>
      <w:szCs w:val="52"/>
    </w:rPr>
  </w:style>
  <w:style w:styleId="style33" w:type="paragraph">
    <w:name w:val="Subtítulo"/>
    <w:basedOn w:val="style0"/>
    <w:next w:val="style28"/>
    <w:pPr>
      <w:keepNext/>
      <w:keepLines/>
      <w:spacing w:after="320" w:before="0"/>
      <w:jc w:val="center"/>
    </w:pPr>
    <w:rPr>
      <w:i/>
      <w:iCs/>
      <w:color w:val="666666"/>
      <w:sz w:val="30"/>
      <w:szCs w:val="30"/>
    </w:rPr>
  </w:style>
  <w:style w:styleId="style34" w:type="paragraph">
    <w:name w:val="Encabezamiento"/>
    <w:basedOn w:val="style0"/>
    <w:next w:val="style34"/>
    <w:pPr>
      <w:suppressLineNumbers/>
      <w:tabs>
        <w:tab w:leader="none" w:pos="4419" w:val="center"/>
        <w:tab w:leader="none" w:pos="8838" w:val="right"/>
      </w:tabs>
    </w:pPr>
    <w:rPr/>
  </w:style>
  <w:style w:styleId="style35" w:type="paragraph">
    <w:name w:val="Pie de página"/>
    <w:basedOn w:val="style0"/>
    <w:next w:val="style35"/>
    <w:pPr>
      <w:suppressLineNumbers/>
      <w:tabs>
        <w:tab w:leader="none" w:pos="4419" w:val="center"/>
        <w:tab w:leader="none" w:pos="8838" w:val="right"/>
      </w:tabs>
    </w:pPr>
    <w:rPr/>
  </w:style>
  <w:style w:styleId="style36" w:type="paragraph">
    <w:name w:val="Nota al pie"/>
    <w:basedOn w:val="style0"/>
    <w:next w:val="style36"/>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2017-10-03T16:35:00.00Z</dcterms:created>
  <dc:creator>Alejandra</dc:creator>
  <cp:lastModifiedBy>Luffi</cp:lastModifiedBy>
  <cp:lastPrinted>2017-10-31T16:24:02.00Z</cp:lastPrinted>
  <dcterms:modified xsi:type="dcterms:W3CDTF">2017-10-03T16:37:00.00Z</dcterms:modified>
  <cp:revision>3</cp:revision>
</cp:coreProperties>
</file>