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100" w:lineRule="atLeast"/>
        <w:jc w:val="center"/>
      </w:pPr>
      <w:bookmarkStart w:id="0" w:name="_gjdgxs"/>
      <w:bookmarkEnd w:id="0"/>
      <w:r>
        <w:rPr>
          <w:rFonts w:cs="Times New Roman"/>
          <w:b/>
          <w:sz w:val="24"/>
          <w:szCs w:val="24"/>
        </w:rPr>
        <w:t>UNIVERSIDAD DE BUENOS AIRES</w:t>
      </w:r>
    </w:p>
    <w:p>
      <w:pPr>
        <w:pStyle w:val="style0"/>
        <w:spacing w:after="120" w:before="0" w:line="100" w:lineRule="atLeast"/>
        <w:jc w:val="center"/>
      </w:pPr>
      <w:r>
        <w:rPr>
          <w:rFonts w:cs="Times New Roman"/>
          <w:b/>
          <w:sz w:val="24"/>
          <w:szCs w:val="24"/>
        </w:rPr>
        <w:t>FACULTAD DE FILOSOFÍA Y LETRAS</w:t>
      </w:r>
    </w:p>
    <w:p>
      <w:pPr>
        <w:pStyle w:val="style0"/>
        <w:spacing w:after="120" w:before="0" w:line="100" w:lineRule="atLeast"/>
        <w:jc w:val="center"/>
      </w:pPr>
      <w:r>
        <w:rPr>
          <w:rFonts w:cs="Times New Roman"/>
          <w:b/>
          <w:sz w:val="24"/>
          <w:szCs w:val="24"/>
        </w:rPr>
        <w:t>DEPARTAMENTO DE CIENCIAS ANTROPOLÓGICAS</w:t>
      </w:r>
    </w:p>
    <w:p>
      <w:pPr>
        <w:pStyle w:val="style0"/>
        <w:spacing w:after="120" w:before="0" w:line="100" w:lineRule="atLeast"/>
        <w:jc w:val="center"/>
      </w:pPr>
      <w:r>
        <w:rPr>
          <w:rFonts w:cs="Times New Roman"/>
          <w:b/>
          <w:sz w:val="24"/>
          <w:szCs w:val="24"/>
        </w:rPr>
        <w:t>SEMINARIO DE PRÁCTICAS SOCIOEDUCATIVAS TERRITORIALIZADAS:</w:t>
      </w:r>
    </w:p>
    <w:p>
      <w:pPr>
        <w:pStyle w:val="style0"/>
        <w:spacing w:after="120" w:before="0" w:line="100" w:lineRule="atLeast"/>
        <w:jc w:val="center"/>
      </w:pPr>
      <w:r>
        <w:rPr>
          <w:rFonts w:cs="Times New Roman"/>
          <w:b/>
          <w:sz w:val="24"/>
          <w:szCs w:val="24"/>
        </w:rPr>
        <w:t>1º CUATRIMESTRE 2018</w:t>
      </w:r>
    </w:p>
    <w:p>
      <w:pPr>
        <w:pStyle w:val="style0"/>
        <w:spacing w:after="120" w:before="0" w:line="100" w:lineRule="atLeast"/>
        <w:jc w:val="both"/>
      </w:pPr>
      <w:r>
        <w:rPr/>
      </w:r>
    </w:p>
    <w:p>
      <w:pPr>
        <w:pStyle w:val="style0"/>
        <w:shd w:fill="D9D9D9" w:val="clear"/>
        <w:spacing w:after="120" w:before="0" w:line="100" w:lineRule="atLeast"/>
        <w:jc w:val="center"/>
      </w:pPr>
      <w:r>
        <w:rPr>
          <w:rFonts w:cs="Times New Roman"/>
          <w:b/>
          <w:sz w:val="26"/>
          <w:szCs w:val="26"/>
        </w:rPr>
        <w:t>Seminario PST “Abordajes grupales en el ámbito comunitario. Prácticas de formación de jóvenes como promotores socioculturales”</w:t>
      </w:r>
    </w:p>
    <w:p>
      <w:pPr>
        <w:pStyle w:val="style0"/>
        <w:spacing w:after="120" w:before="240" w:line="100" w:lineRule="atLeast"/>
      </w:pPr>
      <w:r>
        <w:rPr>
          <w:rFonts w:cs="Times New Roman"/>
          <w:b/>
          <w:sz w:val="24"/>
          <w:szCs w:val="24"/>
        </w:rPr>
        <w:t xml:space="preserve">DOCENTES A CARGO: </w:t>
      </w:r>
    </w:p>
    <w:p>
      <w:pPr>
        <w:pStyle w:val="style0"/>
        <w:spacing w:after="120" w:before="0" w:line="100" w:lineRule="atLeast"/>
      </w:pPr>
      <w:r>
        <w:rPr>
          <w:rFonts w:cs="Times New Roman"/>
          <w:sz w:val="24"/>
          <w:szCs w:val="24"/>
          <w:u w:val="single"/>
        </w:rPr>
        <w:t xml:space="preserve">COORDINADORA: </w:t>
      </w:r>
    </w:p>
    <w:p>
      <w:pPr>
        <w:pStyle w:val="style0"/>
        <w:spacing w:after="60" w:before="0" w:line="100" w:lineRule="atLeast"/>
      </w:pPr>
      <w:r>
        <w:rPr>
          <w:rFonts w:cs="Times New Roman"/>
          <w:sz w:val="24"/>
          <w:szCs w:val="24"/>
        </w:rPr>
        <w:t xml:space="preserve">Silvia Perla Viñas </w:t>
      </w:r>
    </w:p>
    <w:p>
      <w:pPr>
        <w:pStyle w:val="style0"/>
        <w:spacing w:after="60" w:before="0" w:line="100" w:lineRule="atLeast"/>
      </w:pPr>
      <w:r>
        <w:rPr>
          <w:rFonts w:cs="Times New Roman"/>
          <w:sz w:val="24"/>
          <w:szCs w:val="24"/>
        </w:rPr>
        <w:t xml:space="preserve">Coordinadora a cargo de Barrilete Cultural/CIDAC desde el 2011 </w:t>
      </w:r>
    </w:p>
    <w:p>
      <w:pPr>
        <w:pStyle w:val="style0"/>
        <w:spacing w:after="120" w:before="0" w:line="100" w:lineRule="atLeast"/>
      </w:pPr>
      <w:r>
        <w:rPr>
          <w:rFonts w:cs="Times New Roman"/>
          <w:sz w:val="24"/>
          <w:szCs w:val="24"/>
        </w:rPr>
        <w:t>JTP dedicación semiexclusiva de la Cátedra Libre de Derechos Humanos de la FFyL-UBA</w:t>
      </w:r>
    </w:p>
    <w:p>
      <w:pPr>
        <w:pStyle w:val="style0"/>
        <w:spacing w:after="120" w:before="0" w:line="100" w:lineRule="atLeast"/>
      </w:pPr>
      <w:r>
        <w:rPr>
          <w:rFonts w:cs="Times New Roman"/>
          <w:sz w:val="24"/>
          <w:szCs w:val="24"/>
          <w:u w:val="single"/>
        </w:rPr>
        <w:t xml:space="preserve">CO-COORDINADORA: </w:t>
      </w:r>
    </w:p>
    <w:p>
      <w:pPr>
        <w:pStyle w:val="style0"/>
        <w:spacing w:after="60" w:before="0" w:line="100" w:lineRule="atLeast"/>
      </w:pPr>
      <w:r>
        <w:rPr>
          <w:rFonts w:cs="Times New Roman"/>
          <w:sz w:val="24"/>
          <w:szCs w:val="24"/>
        </w:rPr>
        <w:t xml:space="preserve">Gabriela Magistris </w:t>
      </w:r>
    </w:p>
    <w:p>
      <w:pPr>
        <w:pStyle w:val="style0"/>
        <w:spacing w:after="60" w:before="0" w:line="100" w:lineRule="atLeast"/>
      </w:pPr>
      <w:r>
        <w:rPr>
          <w:color w:val="00000A"/>
          <w:sz w:val="24"/>
          <w:szCs w:val="24"/>
        </w:rPr>
        <w:t xml:space="preserve">Doctora en Ciencias Sociales de la Universidad de Buenos Aires (UBA). </w:t>
      </w:r>
    </w:p>
    <w:p>
      <w:pPr>
        <w:pStyle w:val="style0"/>
        <w:spacing w:after="60" w:before="0" w:line="100" w:lineRule="atLeast"/>
      </w:pPr>
      <w:r>
        <w:rPr>
          <w:color w:val="00000A"/>
          <w:sz w:val="24"/>
          <w:szCs w:val="24"/>
        </w:rPr>
        <w:t>Magíster en derechos humanos y políticas sociales por la Universidad Nacional de San Martín (UNSAM).</w:t>
      </w:r>
    </w:p>
    <w:p>
      <w:pPr>
        <w:pStyle w:val="style0"/>
        <w:spacing w:after="60" w:before="0" w:line="100" w:lineRule="atLeast"/>
      </w:pPr>
      <w:r>
        <w:rPr>
          <w:rFonts w:cs="Times New Roman"/>
          <w:sz w:val="24"/>
          <w:szCs w:val="24"/>
        </w:rPr>
        <w:t>Ayudante de 1ra de la Cátedra Libre de Derechos Humanos de la FFyL de la UBA</w:t>
      </w:r>
    </w:p>
    <w:p>
      <w:pPr>
        <w:pStyle w:val="style0"/>
        <w:spacing w:after="120" w:before="0" w:line="100" w:lineRule="atLeast"/>
      </w:pPr>
      <w:r>
        <w:rPr/>
      </w:r>
    </w:p>
    <w:p>
      <w:pPr>
        <w:pStyle w:val="style0"/>
        <w:spacing w:after="120" w:before="0" w:line="100" w:lineRule="atLeast"/>
      </w:pPr>
      <w:r>
        <w:rPr>
          <w:rFonts w:cs="Times New Roman"/>
          <w:b/>
          <w:sz w:val="24"/>
          <w:szCs w:val="24"/>
        </w:rPr>
        <w:t xml:space="preserve">EQUIPO DOCENTE: </w:t>
      </w:r>
    </w:p>
    <w:tbl>
      <w:tblPr>
        <w:jc w:val="left"/>
        <w:tblInd w:type="dxa" w:w="-436"/>
        <w:tblBorders>
          <w:top w:color="000001" w:space="0" w:sz="4" w:val="single"/>
          <w:left w:color="000001" w:space="0" w:sz="4" w:val="single"/>
          <w:bottom w:color="000001" w:space="0" w:sz="4" w:val="single"/>
          <w:right w:color="000001" w:space="0" w:sz="4" w:val="single"/>
        </w:tblBorders>
      </w:tblPr>
      <w:tblGrid>
        <w:gridCol w:w="2878"/>
        <w:gridCol w:w="5775"/>
      </w:tblGrid>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20" w:before="0" w:line="100" w:lineRule="atLeast"/>
              <w:jc w:val="center"/>
            </w:pPr>
            <w:r>
              <w:rPr>
                <w:rFonts w:cs="Times New Roman"/>
                <w:b/>
                <w:sz w:val="24"/>
                <w:szCs w:val="24"/>
                <w:u w:val="single"/>
              </w:rPr>
              <w:t>Nombre y Apellido</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120" w:before="0" w:line="100" w:lineRule="atLeast"/>
              <w:jc w:val="center"/>
            </w:pPr>
            <w:r>
              <w:rPr>
                <w:rFonts w:cs="Times New Roman"/>
                <w:b/>
                <w:sz w:val="24"/>
                <w:szCs w:val="24"/>
                <w:u w:val="single"/>
              </w:rPr>
              <w:t>Cátedra/Dpto./Programa</w:t>
            </w:r>
          </w:p>
        </w:tc>
      </w:tr>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Laura Macri</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Lic. Ciencias Políticas -  Fac. de Ciencias Sociales –UBA</w:t>
            </w:r>
          </w:p>
          <w:p>
            <w:pPr>
              <w:pStyle w:val="style0"/>
              <w:spacing w:after="60" w:before="0" w:line="100" w:lineRule="atLeast"/>
              <w:jc w:val="center"/>
            </w:pPr>
            <w:r>
              <w:rPr>
                <w:rFonts w:cs="Times New Roman"/>
                <w:sz w:val="24"/>
                <w:szCs w:val="24"/>
              </w:rPr>
              <w:t>Equipo Docente de Barrilete Cultural - CIDAC</w:t>
            </w:r>
          </w:p>
        </w:tc>
      </w:tr>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María Soledad Muñeza</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Estudiante avanzada de Letras- FFyL – UBA</w:t>
            </w:r>
          </w:p>
          <w:p>
            <w:pPr>
              <w:pStyle w:val="style0"/>
              <w:spacing w:after="60" w:before="0" w:line="100" w:lineRule="atLeast"/>
              <w:jc w:val="center"/>
            </w:pPr>
            <w:r>
              <w:rPr>
                <w:rFonts w:cs="Times New Roman"/>
                <w:sz w:val="24"/>
                <w:szCs w:val="24"/>
              </w:rPr>
              <w:t>Equipo Docente de Barrilete Cultural -  CIDAC</w:t>
            </w:r>
          </w:p>
        </w:tc>
      </w:tr>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Graciela Daleo</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sz w:val="24"/>
                <w:szCs w:val="24"/>
              </w:rPr>
              <w:t xml:space="preserve">Lic. en Sociología  </w:t>
            </w:r>
          </w:p>
          <w:p>
            <w:pPr>
              <w:pStyle w:val="style0"/>
              <w:spacing w:after="60" w:before="0" w:line="100" w:lineRule="atLeast"/>
            </w:pPr>
            <w:r>
              <w:rPr>
                <w:sz w:val="24"/>
                <w:szCs w:val="24"/>
              </w:rPr>
              <w:t>Directora del Programa Universidad y Dictadura de FFyL</w:t>
            </w:r>
          </w:p>
        </w:tc>
      </w:tr>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 xml:space="preserve">Deborah Valado </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Estudiante avanzada de Comunicación – FSC- UBA</w:t>
            </w:r>
          </w:p>
          <w:p>
            <w:pPr>
              <w:pStyle w:val="style0"/>
              <w:spacing w:after="60" w:before="0" w:line="100" w:lineRule="atLeast"/>
              <w:jc w:val="center"/>
            </w:pPr>
            <w:r>
              <w:rPr>
                <w:rFonts w:cs="Times New Roman"/>
                <w:sz w:val="24"/>
                <w:szCs w:val="24"/>
              </w:rPr>
              <w:t xml:space="preserve">Equipo Docente de Barrilete Cultural </w:t>
            </w:r>
          </w:p>
          <w:p>
            <w:pPr>
              <w:pStyle w:val="style0"/>
              <w:spacing w:after="60" w:before="0" w:line="100" w:lineRule="atLeast"/>
              <w:jc w:val="center"/>
            </w:pPr>
            <w:r>
              <w:rPr>
                <w:rFonts w:cs="Times New Roman"/>
                <w:sz w:val="24"/>
                <w:szCs w:val="24"/>
              </w:rPr>
              <w:t xml:space="preserve">Integrante del equipo de gestión del CIDAC </w:t>
            </w:r>
          </w:p>
        </w:tc>
      </w:tr>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Mirtha Bareiro</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Editora-  FFyL – UBA</w:t>
            </w:r>
          </w:p>
          <w:p>
            <w:pPr>
              <w:pStyle w:val="style0"/>
              <w:spacing w:after="60" w:before="0" w:line="100" w:lineRule="atLeast"/>
              <w:jc w:val="center"/>
            </w:pPr>
            <w:r>
              <w:rPr>
                <w:rFonts w:cs="Times New Roman"/>
                <w:sz w:val="24"/>
                <w:szCs w:val="24"/>
              </w:rPr>
              <w:t>Equipo Docente de Barrilete Cultural -  CIDAC</w:t>
            </w:r>
          </w:p>
        </w:tc>
      </w:tr>
      <w:tr>
        <w:trPr>
          <w:cantSplit w:val="false"/>
        </w:trPr>
        <w:tc>
          <w:tcPr>
            <w:tcW w:type="dxa" w:w="28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rFonts w:cs="Times New Roman"/>
                <w:sz w:val="24"/>
                <w:szCs w:val="24"/>
              </w:rPr>
              <w:t>Yanina Sumpf</w:t>
            </w:r>
          </w:p>
        </w:tc>
        <w:tc>
          <w:tcPr>
            <w:tcW w:type="dxa" w:w="5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100" w:lineRule="atLeast"/>
              <w:jc w:val="center"/>
            </w:pPr>
            <w:r>
              <w:rPr>
                <w:sz w:val="24"/>
                <w:szCs w:val="24"/>
              </w:rPr>
              <w:t>Lic en Sociología – Universidad Complutense - España</w:t>
            </w:r>
          </w:p>
          <w:p>
            <w:pPr>
              <w:pStyle w:val="style0"/>
              <w:spacing w:after="60" w:before="0" w:line="100" w:lineRule="atLeast"/>
              <w:jc w:val="center"/>
            </w:pPr>
            <w:r>
              <w:rPr>
                <w:rFonts w:cs="Times New Roman"/>
                <w:sz w:val="24"/>
                <w:szCs w:val="24"/>
              </w:rPr>
              <w:t>Equipo Docente de Barrilete Cultural -  CIDAC</w:t>
            </w:r>
            <w:r>
              <w:rPr>
                <w:sz w:val="24"/>
                <w:szCs w:val="24"/>
              </w:rPr>
              <w:t xml:space="preserve"> </w:t>
            </w:r>
          </w:p>
        </w:tc>
      </w:tr>
    </w:tbl>
    <w:p>
      <w:pPr>
        <w:pStyle w:val="style0"/>
        <w:spacing w:after="120" w:before="0" w:line="100" w:lineRule="atLeast"/>
      </w:pPr>
      <w:r>
        <w:rPr/>
      </w:r>
    </w:p>
    <w:p>
      <w:pPr>
        <w:pStyle w:val="style0"/>
        <w:numPr>
          <w:ilvl w:val="0"/>
          <w:numId w:val="2"/>
        </w:numPr>
        <w:shd w:fill="D9D9D9" w:val="clear"/>
        <w:spacing w:after="120" w:before="0" w:line="100" w:lineRule="atLeast"/>
        <w:ind w:hanging="284" w:left="284" w:right="0"/>
        <w:jc w:val="both"/>
      </w:pPr>
      <w:r>
        <w:rPr>
          <w:rFonts w:cs="Times New Roman"/>
          <w:b/>
          <w:sz w:val="24"/>
          <w:szCs w:val="24"/>
        </w:rPr>
        <w:t xml:space="preserve">TÍTULO: </w:t>
      </w:r>
      <w:r>
        <w:rPr>
          <w:rFonts w:cs="Times New Roman"/>
          <w:b/>
          <w:sz w:val="26"/>
          <w:szCs w:val="26"/>
        </w:rPr>
        <w:t>Abordajes grupales en el ámbito comunitario. Prácticas de formación de jóvenes como promotores socioculturales</w:t>
      </w:r>
    </w:p>
    <w:p>
      <w:pPr>
        <w:pStyle w:val="style0"/>
        <w:spacing w:after="120" w:before="0" w:line="100" w:lineRule="atLeast"/>
        <w:jc w:val="both"/>
      </w:pPr>
      <w:r>
        <w:rPr/>
      </w:r>
    </w:p>
    <w:p>
      <w:pPr>
        <w:pStyle w:val="style0"/>
        <w:shd w:fill="D9D9D9" w:val="clear"/>
        <w:spacing w:after="120" w:before="0" w:line="100" w:lineRule="atLeast"/>
      </w:pPr>
      <w:r>
        <w:rPr>
          <w:rFonts w:cs="Times New Roman"/>
          <w:b/>
          <w:sz w:val="24"/>
          <w:szCs w:val="24"/>
        </w:rPr>
        <w:t>b) FUNDAMENTACIÓN TEÓRICA DE LA PROPUESTA</w:t>
      </w:r>
    </w:p>
    <w:p>
      <w:pPr>
        <w:pStyle w:val="style0"/>
        <w:spacing w:after="120" w:before="0" w:line="100" w:lineRule="atLeast"/>
      </w:pPr>
      <w:r>
        <w:rPr>
          <w:sz w:val="24"/>
          <w:szCs w:val="24"/>
        </w:rPr>
        <w:t xml:space="preserve">En el ámbito comunitario resulta indispensable trabajar en y con ‘grupos’. </w:t>
      </w:r>
    </w:p>
    <w:p>
      <w:pPr>
        <w:pStyle w:val="style0"/>
        <w:spacing w:after="120" w:before="0" w:line="100" w:lineRule="atLeast"/>
      </w:pPr>
      <w:r>
        <w:rPr>
          <w:sz w:val="24"/>
          <w:szCs w:val="24"/>
        </w:rPr>
        <w:t xml:space="preserve">Las tareas de acompañamiento, formación, orientación y/o promoción de protagonismo en el campo social y popular requieren permanentemente de dispositivos grupales para el desarrollo colectivo en la asunción y resolución de problemáticas y proyectos que ocupan a diversos actores: vecinos, estudiantes, trabajadores, militantes, jóvenes, niños y niñas, mujeres, etc. La falta de nociones fundamentales sobre lo grupal y el abordaje de esta tarea en forma intuitiva no propician el total despliegue del potencial transformador subjetivo y colectivo de los grupos en el campo social. </w:t>
      </w:r>
    </w:p>
    <w:p>
      <w:pPr>
        <w:pStyle w:val="style0"/>
        <w:spacing w:after="120" w:before="0" w:line="100" w:lineRule="atLeast"/>
      </w:pPr>
      <w:r>
        <w:rPr>
          <w:sz w:val="24"/>
          <w:szCs w:val="24"/>
        </w:rPr>
        <w:t xml:space="preserve">En Argentina, hubo desarrollos y prácticas en el campo grupal que han trazado importantes líneas para que su abordaje promueva la asunción de posiciones críticas respecto de los lugares hegemónicos y/o instituidos, posibilitando abrir alternativas creativas, transformadoras y operativas en los objetivos comunes del grupo y de los participantes. A su vez, vemos a los grupos como espacios tácticos donde se da la producción de efectos singulares e inéditos. (A.M. Del Cueto y A.M.Fernández, 2000) </w:t>
      </w:r>
    </w:p>
    <w:p>
      <w:pPr>
        <w:pStyle w:val="style0"/>
        <w:spacing w:after="120" w:before="0" w:line="100" w:lineRule="atLeast"/>
      </w:pPr>
      <w:r>
        <w:rPr>
          <w:sz w:val="24"/>
          <w:szCs w:val="24"/>
        </w:rPr>
        <w:t xml:space="preserve">En este curso se brindarán herramientas teóricas y técnicas para el abordaje grupal y para el análisis de los equipos de trabajo ya constituidos. Se trabajará sobre cómo diseñar y coordinar diferentes dispositivos grupales. Entre ellos el </w:t>
      </w:r>
      <w:r>
        <w:rPr>
          <w:i/>
          <w:sz w:val="24"/>
          <w:szCs w:val="24"/>
        </w:rPr>
        <w:t>Taller</w:t>
      </w:r>
      <w:r>
        <w:rPr>
          <w:sz w:val="24"/>
          <w:szCs w:val="24"/>
        </w:rPr>
        <w:t xml:space="preserve">, que es un dispositivo grupal muy rico y de gran eficacia en la tarea comunitaria, principalmente con jóvenes, y el </w:t>
      </w:r>
      <w:r>
        <w:rPr>
          <w:i/>
          <w:sz w:val="24"/>
          <w:szCs w:val="24"/>
        </w:rPr>
        <w:t>Grupo de Reflexión</w:t>
      </w:r>
      <w:r>
        <w:rPr>
          <w:sz w:val="24"/>
          <w:szCs w:val="24"/>
        </w:rPr>
        <w:t>, brindando herramientas de lectura de lo grupal que propicien el centramiento en la tarea grupal, localizando resistencias grupales y singulares para abrir el camino a una reflexión amarrada al sentir y el hacer de los integrantes, que se constituyen de este modo en sujetos y objetos de la reflexión.  Por otro lado, el grupo de reflexión es un dispositivo muy eficaz para abordar diferentes situaciones traumáticas de origen social y de vulneración de Derechos Humanos, que permite el pasaje de lo singular a la escena social, lo que “favorece la elaboración de vivencias subjetivas, de la fantasmática y de su relación con las significaciones sociales”. (L.Edelman y D.Kordon, 2011)</w:t>
      </w:r>
    </w:p>
    <w:p>
      <w:pPr>
        <w:pStyle w:val="style0"/>
        <w:spacing w:after="120" w:before="0" w:line="100" w:lineRule="atLeast"/>
      </w:pPr>
      <w:r>
        <w:rPr>
          <w:sz w:val="24"/>
          <w:szCs w:val="24"/>
        </w:rPr>
        <w:t xml:space="preserve">Entendemos a la tarea grupal como el organizador principal que va a permitir generar un buen anudamiento del grupo y sostenemos que ese quehacer colectivo produce, a su vez, efectos subjetivos que contribuyen a fortalecer el desarrollo intelectual, afectivo, vincular y social. Por ello, abordaremos los grupos como </w:t>
      </w:r>
      <w:r>
        <w:rPr>
          <w:i/>
          <w:sz w:val="24"/>
          <w:szCs w:val="24"/>
        </w:rPr>
        <w:t>Grupos Centrados en una Tarea</w:t>
      </w:r>
      <w:r>
        <w:rPr>
          <w:sz w:val="24"/>
          <w:szCs w:val="24"/>
        </w:rPr>
        <w:t xml:space="preserve"> (G.Jasiner, 2007) cuya matriz es la noción de tarea desarrollada por Enrique Pichon Rivière cuando elaboró la teoría y técnica de </w:t>
      </w:r>
      <w:r>
        <w:rPr>
          <w:i/>
          <w:sz w:val="24"/>
          <w:szCs w:val="24"/>
        </w:rPr>
        <w:t>grupo operativo</w:t>
      </w:r>
      <w:r>
        <w:rPr>
          <w:sz w:val="24"/>
          <w:szCs w:val="24"/>
        </w:rPr>
        <w:t>. (Pichon Rivière, 1982)</w:t>
      </w:r>
    </w:p>
    <w:p>
      <w:pPr>
        <w:pStyle w:val="style0"/>
        <w:spacing w:after="120" w:before="0" w:line="100" w:lineRule="atLeast"/>
      </w:pPr>
      <w:r>
        <w:rPr>
          <w:sz w:val="24"/>
          <w:szCs w:val="24"/>
        </w:rPr>
        <w:t xml:space="preserve">Los grupos pueden asumir una posición de “grupo objeto”, sometido y hablado por otro,  o posición de “grupo sujeto”, o sea, grupo implicado en sus determinaciones (Kaminsky y Varela, 2001). Es tarea de quienes estamos a coordinando estos grupos el orientar sus procesos para que puedan desarrollar sus tareas y objetivos desde la posición de “sujeto”, que puedan cuestionar/se sobre los mecanismos de reproducción acrítica del sistema y la posibilidad de asumir un lugar transformador. Este enfoque es fundamental en el campo comunitario, mucho más cuando trabajamos desde una perspectiva de Derechos Humanos, ya que la comunidad no puede ser tomada como objeto de abordajes e intervenciones eruditas sino como sujeto activo al que, desde el ámbito universitario, brindaremos más herramientas para reflexionar colectivamente, darse los debates y direccionar sus acciones, nutriéndose a su vez el ámbito académico de una </w:t>
      </w:r>
      <w:r>
        <w:rPr>
          <w:i/>
          <w:sz w:val="24"/>
          <w:szCs w:val="24"/>
        </w:rPr>
        <w:t xml:space="preserve">praxis </w:t>
      </w:r>
      <w:r>
        <w:rPr>
          <w:sz w:val="24"/>
          <w:szCs w:val="24"/>
        </w:rPr>
        <w:t xml:space="preserve">que orientará su producción teórica. </w:t>
      </w:r>
    </w:p>
    <w:p>
      <w:pPr>
        <w:pStyle w:val="style0"/>
        <w:spacing w:after="120" w:before="0" w:line="100" w:lineRule="atLeast"/>
      </w:pPr>
      <w:r>
        <w:rPr>
          <w:sz w:val="24"/>
          <w:szCs w:val="24"/>
        </w:rPr>
        <w:t>Para el intercambio con el ámbito comunitario nos muñiremos también de los saberes de la educación popular. El fundamento epistemológico de la educación popular, y de Paulo Freire en particular, es de carácter dialéctico, lo que implica un acto en que el educando es sujeto activo de la acción y también la producción de conocimientos cercanos a su sensibilidad e intereses. Conocimiento que es el resultado de la praxis permanente de los seres humanos sobre la realidad, y ese conocimiento se produce socialmente bajo determinadas circunstancias históricas que posibilitan su sistematización como una construcción teórica. Es la teoría “a partir de la práctica” y no “sobre ella”. Apuntamos a instrumentar para que el trabajo con adolescentes y jóvenes propicie el lugar de protagonismo social, cultural y político de los mismos.</w:t>
      </w:r>
    </w:p>
    <w:p>
      <w:pPr>
        <w:pStyle w:val="style0"/>
        <w:spacing w:after="120" w:before="0" w:line="100" w:lineRule="atLeast"/>
      </w:pPr>
      <w:r>
        <w:rPr>
          <w:sz w:val="24"/>
          <w:szCs w:val="24"/>
        </w:rPr>
        <w:t>A través de talleres participativos, se brindarán técnicas lúdicas y creativas, imprescindibles para facilitar el armado de una buena trama grupal, ampliar las opciones de abordaje de la tarea, reencontrarse con las capacidades creativas, activas y reflexivas de los participantes y del propio grupo. La experiencia lúdica está ligada al proceso creador (Pavlovsky, 2007) y al júbilo. Sin olvidar que el júbilo, que siempre emerge en el juego y la creación,  es un elemento propio del proceso de liberación (Zygouris, 2016). Atravesar estas vivencias posibilitará su indagación y posterior transmisión.</w:t>
      </w:r>
    </w:p>
    <w:p>
      <w:pPr>
        <w:pStyle w:val="style0"/>
        <w:spacing w:after="120" w:before="0" w:line="100" w:lineRule="atLeast"/>
      </w:pPr>
      <w:r>
        <w:rPr>
          <w:sz w:val="24"/>
          <w:szCs w:val="24"/>
        </w:rPr>
        <w:t xml:space="preserve">Este seminario permitirá a los estudiantes contar con elementos fundamentales para poder realizar abordajes grupales, hacer algunas lecturas del acontecer grupal y poder orientar el proceso del mismo propiciando el protagonismo singular y colectivo. Las prácticas territoriales con jóvenes, participando del diseño y coordinación de talleres, les brindará la posibilidad de fortalecer la articulación entre teoría y </w:t>
      </w:r>
      <w:r>
        <w:rPr>
          <w:i/>
          <w:sz w:val="24"/>
          <w:szCs w:val="24"/>
        </w:rPr>
        <w:t>praxis</w:t>
      </w:r>
      <w:r>
        <w:rPr>
          <w:sz w:val="24"/>
          <w:szCs w:val="24"/>
        </w:rPr>
        <w:t>.</w:t>
      </w:r>
    </w:p>
    <w:p>
      <w:pPr>
        <w:pStyle w:val="style0"/>
        <w:spacing w:after="120" w:before="0" w:line="100" w:lineRule="atLeast"/>
      </w:pPr>
      <w:r>
        <w:rPr/>
      </w:r>
    </w:p>
    <w:p>
      <w:pPr>
        <w:pStyle w:val="style0"/>
        <w:shd w:fill="D9D9D9" w:val="clear"/>
        <w:spacing w:after="120" w:before="0" w:line="100" w:lineRule="atLeast"/>
      </w:pPr>
      <w:r>
        <w:rPr>
          <w:b/>
          <w:sz w:val="24"/>
          <w:szCs w:val="24"/>
        </w:rPr>
        <w:t xml:space="preserve">c) ANTECEDENTES </w:t>
      </w:r>
    </w:p>
    <w:p>
      <w:pPr>
        <w:pStyle w:val="style0"/>
        <w:spacing w:after="120" w:before="0" w:line="100" w:lineRule="atLeast"/>
      </w:pPr>
      <w:r>
        <w:rPr>
          <w:rFonts w:cs="Arial"/>
          <w:sz w:val="24"/>
          <w:szCs w:val="24"/>
        </w:rPr>
        <w:t xml:space="preserve">En el año 2010, un grupo de docentes del área de Derechos de niños, niñas y adolescentes de la Cátedra Libre de Derechos Humanos (FFyL, UBA), finalizada una rica y prolongada experiencia de trabajo con jóvenes privados de libertad, decidimos desarrollar un trabajo territorial con jóvenes. Para ello, articulamos con el </w:t>
      </w:r>
      <w:r>
        <w:rPr>
          <w:rFonts w:cs="Arial"/>
          <w:color w:val="111111"/>
          <w:sz w:val="24"/>
          <w:szCs w:val="24"/>
        </w:rPr>
        <w:t xml:space="preserve">Centro de Innovación y Desarrollo para la Acción Comunitaria (CIDAC) de la Facultad, </w:t>
      </w:r>
      <w:r>
        <w:rPr>
          <w:rFonts w:cs="Arial"/>
          <w:sz w:val="24"/>
          <w:szCs w:val="24"/>
        </w:rPr>
        <w:t xml:space="preserve">que estaba iniciando un interesante proceso de inserción y fortalecimiento de la Universidad en el territorio de la </w:t>
      </w:r>
      <w:r>
        <w:rPr>
          <w:rFonts w:cs="ArialMT"/>
          <w:sz w:val="24"/>
          <w:szCs w:val="24"/>
        </w:rPr>
        <w:t>zona sur de la Ciudad de Buenos Aires, y emprendimos el proyecto “F</w:t>
      </w:r>
      <w:r>
        <w:rPr>
          <w:rFonts w:cs="Arial"/>
          <w:sz w:val="24"/>
          <w:szCs w:val="24"/>
        </w:rPr>
        <w:t xml:space="preserve">ormación de adolescentes como promotores socioculturales comunitarios, desde una </w:t>
      </w:r>
      <w:r>
        <w:rPr>
          <w:rFonts w:cs="ArialMT"/>
          <w:sz w:val="24"/>
          <w:szCs w:val="24"/>
        </w:rPr>
        <w:t>perspectiva de derechos humanos”.</w:t>
      </w:r>
    </w:p>
    <w:p>
      <w:pPr>
        <w:pStyle w:val="style0"/>
        <w:spacing w:after="120" w:before="0" w:line="100" w:lineRule="atLeast"/>
      </w:pPr>
      <w:r>
        <w:rPr>
          <w:rFonts w:cs="Arial"/>
          <w:sz w:val="24"/>
          <w:szCs w:val="24"/>
        </w:rPr>
        <w:t>Para llevarlo a cabo esta iniciativa, realizamos un llamamiento a estudiantes y egresados universitarios y presentamos el proyecto en la convocatoria UBANEX de ese año, que fue aprobado</w:t>
      </w:r>
      <w:r>
        <w:rPr>
          <w:rStyle w:val="style29"/>
        </w:rPr>
        <w:footnoteReference w:id="2"/>
      </w:r>
      <w:r>
        <w:rPr>
          <w:rFonts w:cs="Arial"/>
          <w:sz w:val="24"/>
          <w:szCs w:val="24"/>
        </w:rPr>
        <w:t xml:space="preserve">. </w:t>
      </w:r>
    </w:p>
    <w:p>
      <w:pPr>
        <w:pStyle w:val="style84"/>
        <w:spacing w:after="120" w:before="0" w:line="100" w:lineRule="atLeast"/>
      </w:pPr>
      <w:r>
        <w:rPr>
          <w:rFonts w:cs="Arial"/>
          <w:sz w:val="24"/>
          <w:szCs w:val="24"/>
        </w:rPr>
        <w:t>Desde el comienzo,</w:t>
      </w:r>
      <w:r>
        <w:rPr>
          <w:rFonts w:cs="Arial"/>
          <w:color w:val="0000FF"/>
          <w:sz w:val="24"/>
          <w:szCs w:val="24"/>
        </w:rPr>
        <w:t xml:space="preserve"> </w:t>
      </w:r>
      <w:r>
        <w:rPr>
          <w:rFonts w:cs="Arial"/>
          <w:color w:val="00000A"/>
          <w:sz w:val="24"/>
          <w:szCs w:val="24"/>
        </w:rPr>
        <w:t>apostamos a que los universitarios que se incorporaran debían ser parte del equipo docente de la formación que pretendíamos llevar adelante, y por lo tanto, la capacitación que ellos recibieran debía ser coherente con la práctica que deseábamos desarrollar con los y las adolescentes: que promoviera el protagonismo creativo y participativo, la reflexión crítica, que abriera preguntas, que las conceptualizaciones asentadas en saberes previos a la vez fueran interrogados y debatidas.</w:t>
      </w:r>
      <w:r>
        <w:rPr>
          <w:rFonts w:cs="Arial"/>
          <w:sz w:val="24"/>
          <w:szCs w:val="24"/>
        </w:rPr>
        <w:t xml:space="preserve"> Se incorporaron y/o formaron parte (con diferentes permanencias)</w:t>
      </w:r>
      <w:r>
        <w:rPr>
          <w:rFonts w:cs="Arial"/>
          <w:color w:val="00000A"/>
          <w:sz w:val="24"/>
          <w:szCs w:val="24"/>
        </w:rPr>
        <w:t xml:space="preserve"> universitarios de muy diversas  carreras y perfiles</w:t>
      </w:r>
      <w:r>
        <w:rPr>
          <w:rStyle w:val="style29"/>
        </w:rPr>
        <w:footnoteReference w:id="3"/>
      </w:r>
      <w:r>
        <w:rPr>
          <w:rFonts w:cs="Arial"/>
          <w:color w:val="00000A"/>
          <w:sz w:val="24"/>
          <w:szCs w:val="24"/>
        </w:rPr>
        <w:t>.</w:t>
      </w:r>
    </w:p>
    <w:p>
      <w:pPr>
        <w:pStyle w:val="style0"/>
        <w:spacing w:after="120" w:before="0" w:line="100" w:lineRule="atLeast"/>
      </w:pPr>
      <w:r>
        <w:rPr>
          <w:sz w:val="24"/>
          <w:szCs w:val="24"/>
        </w:rPr>
        <w:t xml:space="preserve">En el año 2014 también nos fue aprobado el proyecto </w:t>
      </w:r>
      <w:r>
        <w:rPr>
          <w:i/>
          <w:sz w:val="24"/>
          <w:szCs w:val="24"/>
        </w:rPr>
        <w:t>Joven promotor sociocultural</w:t>
      </w:r>
      <w:r>
        <w:rPr>
          <w:sz w:val="24"/>
          <w:szCs w:val="24"/>
        </w:rPr>
        <w:t xml:space="preserve"> en la convocatoria al Programa de Voluntariado Universitario del Ministerio de Educación de la Nación</w:t>
      </w:r>
      <w:r>
        <w:rPr>
          <w:rStyle w:val="style29"/>
        </w:rPr>
        <w:footnoteReference w:id="4"/>
      </w:r>
      <w:r>
        <w:rPr>
          <w:sz w:val="24"/>
          <w:szCs w:val="24"/>
        </w:rPr>
        <w:t xml:space="preserve">. </w:t>
      </w:r>
    </w:p>
    <w:p>
      <w:pPr>
        <w:pStyle w:val="style0"/>
        <w:spacing w:after="120" w:before="0" w:line="100" w:lineRule="atLeast"/>
      </w:pPr>
      <w:r>
        <w:rPr>
          <w:sz w:val="24"/>
          <w:szCs w:val="24"/>
        </w:rPr>
        <w:t xml:space="preserve">Se han desarrollado distintos proyectos en escuelas medias de la zona sur de la Ciudad Autónoma de Buenos Aires, en la sede del CIDAC y en Centros Culturales. Algunos de ellos son: </w:t>
      </w:r>
    </w:p>
    <w:p>
      <w:pPr>
        <w:pStyle w:val="style81"/>
        <w:numPr>
          <w:ilvl w:val="0"/>
          <w:numId w:val="3"/>
        </w:numPr>
        <w:spacing w:after="120" w:before="0" w:line="100" w:lineRule="atLeast"/>
      </w:pPr>
      <w:r>
        <w:rPr>
          <w:i/>
          <w:sz w:val="24"/>
          <w:szCs w:val="24"/>
        </w:rPr>
        <w:t>Pintó el stencil</w:t>
      </w:r>
    </w:p>
    <w:p>
      <w:pPr>
        <w:pStyle w:val="style81"/>
        <w:numPr>
          <w:ilvl w:val="0"/>
          <w:numId w:val="3"/>
        </w:numPr>
        <w:spacing w:after="120" w:before="0" w:line="100" w:lineRule="atLeast"/>
      </w:pPr>
      <w:r>
        <w:rPr>
          <w:i/>
          <w:sz w:val="24"/>
          <w:szCs w:val="24"/>
        </w:rPr>
        <w:t>Expresión visual, juventud y arte urbano</w:t>
      </w:r>
    </w:p>
    <w:p>
      <w:pPr>
        <w:pStyle w:val="style81"/>
        <w:numPr>
          <w:ilvl w:val="0"/>
          <w:numId w:val="3"/>
        </w:numPr>
        <w:spacing w:after="120" w:before="0" w:line="100" w:lineRule="atLeast"/>
      </w:pPr>
      <w:r>
        <w:rPr>
          <w:i/>
          <w:sz w:val="24"/>
          <w:szCs w:val="24"/>
        </w:rPr>
        <w:t xml:space="preserve">AnimArte </w:t>
      </w:r>
    </w:p>
    <w:p>
      <w:pPr>
        <w:pStyle w:val="style81"/>
        <w:numPr>
          <w:ilvl w:val="0"/>
          <w:numId w:val="3"/>
        </w:numPr>
        <w:spacing w:after="120" w:before="0" w:line="100" w:lineRule="atLeast"/>
      </w:pPr>
      <w:r>
        <w:rPr>
          <w:i/>
          <w:sz w:val="24"/>
          <w:szCs w:val="24"/>
        </w:rPr>
        <w:t xml:space="preserve">Introducción al arte fotográfico </w:t>
      </w:r>
    </w:p>
    <w:p>
      <w:pPr>
        <w:pStyle w:val="style81"/>
        <w:numPr>
          <w:ilvl w:val="0"/>
          <w:numId w:val="3"/>
        </w:numPr>
        <w:spacing w:after="120" w:before="0" w:line="100" w:lineRule="atLeast"/>
      </w:pPr>
      <w:r>
        <w:rPr>
          <w:i/>
          <w:sz w:val="24"/>
          <w:szCs w:val="24"/>
        </w:rPr>
        <w:t>Cuenta Cuentos. L@s adolescentes les leen cuentos a l@s niñ@s</w:t>
      </w:r>
    </w:p>
    <w:p>
      <w:pPr>
        <w:pStyle w:val="style0"/>
        <w:spacing w:after="120" w:before="0" w:line="100" w:lineRule="atLeast"/>
      </w:pPr>
      <w:r>
        <w:rPr>
          <w:sz w:val="24"/>
          <w:szCs w:val="24"/>
        </w:rPr>
        <w:t xml:space="preserve">Este último proyecto, que es al que incorporaremos a los estudiantes universitarios en sus prácticas territoriales, se viene desarrollando de forma continua desde el año 2012. Se brinda capacitación a estudiantes de 4to y/o 5to año de escuelas medias de Barracas en mediación de lectura con literatura infantil, para luego, con quienes se anotan voluntariamente, hacer talleres de entrenamiento para la lectura a niños/as, elegir un espacio dónde realizar lectura (jardín, escuela), hacer selección de textos conforme a la edad de los destinatarios, diseñar la actividad e ir a realizar un evento de lectura. El enfoque es el de participar en la restitución de un derecho cultural de los niños como es que les lean cuentos. La literatura favorece en gran medida el desarrollo intelectual, afectivo y social de los pequeños. Los adolescentes valoran mucho esta función de la actividad, además de disfrutar el encuentro intergeneracional que se produce en el que ellos se constituyen en referentes para los chicos, así como previamente los estudiantes universitarios lo han sido para los estudiantes secundarios. </w:t>
      </w:r>
    </w:p>
    <w:p>
      <w:pPr>
        <w:pStyle w:val="style0"/>
        <w:spacing w:after="120" w:before="0" w:line="100" w:lineRule="atLeast"/>
      </w:pPr>
      <w:r>
        <w:rPr>
          <w:sz w:val="24"/>
          <w:szCs w:val="24"/>
        </w:rPr>
        <w:t xml:space="preserve">También se realizan grabaciones de Cd’s de cuentos, poesías, adivinanzas y colmos. Para ello también hay talleres de entrenamiento y preparación de textos. Se graban en estudios de radio. Ya hemos grabado tres Cd’s.  </w:t>
      </w:r>
    </w:p>
    <w:p>
      <w:pPr>
        <w:pStyle w:val="style0"/>
        <w:spacing w:after="120" w:before="0" w:line="100" w:lineRule="atLeast"/>
      </w:pPr>
      <w:r>
        <w:rPr>
          <w:sz w:val="24"/>
          <w:szCs w:val="24"/>
        </w:rPr>
        <w:t>Desde 2012 a la fecha hemos trabajado con cuatro escuelas medias, los adolescentes han leído en escuelas primarias, jardines de infantes, centros culturales y los estudiantes de la Escuela Media Nº6, D.E.5, que se emplaza en la Villa 21-24, han coordinado junto a nosotros talleres Cuenta Cuentos en el Patio Infantil de la Feria Internacional del Libro en dos oportunidades, rompiendo la lógica de las fragmentaciones territoriales de diferenciación selectiva</w:t>
      </w:r>
      <w:r>
        <w:rPr>
          <w:rStyle w:val="style29"/>
        </w:rPr>
        <w:footnoteReference w:id="5"/>
      </w:r>
      <w:r>
        <w:rPr>
          <w:sz w:val="24"/>
          <w:szCs w:val="24"/>
        </w:rPr>
        <w:t xml:space="preserve">. También han sido invitados a programas de televisión y han recibido la visita de una escritora que escuchó la grabación de un texto suyo. </w:t>
      </w:r>
    </w:p>
    <w:p>
      <w:pPr>
        <w:pStyle w:val="style0"/>
        <w:spacing w:after="120" w:before="0" w:line="100" w:lineRule="atLeast"/>
      </w:pPr>
      <w:r>
        <w:rPr>
          <w:sz w:val="24"/>
          <w:szCs w:val="24"/>
        </w:rPr>
        <w:t xml:space="preserve">En estos seis años hemos brindado talleres en todas las temáticas a más de 400 adolescentes y realizamos innumerables eventos de lectura de jóvenes a niños/as en escuelas, jardines, centros culturales y la Feria del Libro. </w:t>
      </w:r>
    </w:p>
    <w:p>
      <w:pPr>
        <w:pStyle w:val="style0"/>
        <w:spacing w:after="120" w:before="0" w:line="100" w:lineRule="atLeast"/>
      </w:pPr>
      <w:r>
        <w:rPr/>
      </w:r>
    </w:p>
    <w:p>
      <w:pPr>
        <w:pStyle w:val="style0"/>
        <w:shd w:fill="D9D9D9" w:val="clear"/>
        <w:spacing w:after="120" w:before="0" w:line="100" w:lineRule="atLeast"/>
      </w:pPr>
      <w:r>
        <w:rPr>
          <w:b/>
          <w:sz w:val="24"/>
          <w:szCs w:val="24"/>
        </w:rPr>
        <w:t>d</w:t>
      </w:r>
      <w:r>
        <w:rPr>
          <w:b/>
          <w:caps/>
          <w:sz w:val="24"/>
          <w:szCs w:val="24"/>
        </w:rPr>
        <w:t>) Objetivos</w:t>
      </w:r>
    </w:p>
    <w:p>
      <w:pPr>
        <w:pStyle w:val="style0"/>
        <w:widowControl w:val="false"/>
        <w:overflowPunct w:val="false"/>
        <w:spacing w:after="120" w:before="0" w:line="100" w:lineRule="atLeast"/>
      </w:pPr>
      <w:r>
        <w:rPr>
          <w:sz w:val="24"/>
          <w:szCs w:val="24"/>
        </w:rPr>
        <w:t>Se espera que el estudiante:</w:t>
      </w:r>
    </w:p>
    <w:p>
      <w:pPr>
        <w:pStyle w:val="style81"/>
        <w:widowControl w:val="false"/>
        <w:numPr>
          <w:ilvl w:val="0"/>
          <w:numId w:val="4"/>
        </w:numPr>
        <w:overflowPunct w:val="false"/>
        <w:spacing w:after="120" w:before="0" w:line="100" w:lineRule="atLeast"/>
      </w:pPr>
      <w:r>
        <w:rPr>
          <w:sz w:val="24"/>
          <w:szCs w:val="24"/>
        </w:rPr>
        <w:t>Adquiera herramientas teóricas y técnicas para coordinar grupos en el ámbito comunitario y de jóvenes en particular.</w:t>
      </w:r>
    </w:p>
    <w:p>
      <w:pPr>
        <w:pStyle w:val="style81"/>
        <w:widowControl w:val="false"/>
        <w:numPr>
          <w:ilvl w:val="0"/>
          <w:numId w:val="4"/>
        </w:numPr>
        <w:overflowPunct w:val="false"/>
        <w:spacing w:after="120" w:before="0" w:line="100" w:lineRule="atLeast"/>
      </w:pPr>
      <w:r>
        <w:rPr>
          <w:sz w:val="24"/>
          <w:szCs w:val="24"/>
        </w:rPr>
        <w:t xml:space="preserve">Sea capaz de generar dispositivos de participación genuina y protagonismo juvenil anudado a sus espacios de pertenencia comunitaria y etaria. </w:t>
      </w:r>
    </w:p>
    <w:p>
      <w:pPr>
        <w:pStyle w:val="style81"/>
        <w:widowControl w:val="false"/>
        <w:numPr>
          <w:ilvl w:val="0"/>
          <w:numId w:val="4"/>
        </w:numPr>
        <w:overflowPunct w:val="false"/>
        <w:spacing w:after="120" w:before="0" w:line="100" w:lineRule="atLeast"/>
      </w:pPr>
      <w:r>
        <w:rPr>
          <w:sz w:val="24"/>
          <w:szCs w:val="24"/>
        </w:rPr>
        <w:t xml:space="preserve">Atraviese una experiencia de conformación grupal con el equipo docente y demás estudiantes universitarios y de funcionamiento como equipo de intervención. </w:t>
      </w:r>
    </w:p>
    <w:p>
      <w:pPr>
        <w:pStyle w:val="style81"/>
        <w:widowControl w:val="false"/>
        <w:numPr>
          <w:ilvl w:val="0"/>
          <w:numId w:val="4"/>
        </w:numPr>
        <w:overflowPunct w:val="false"/>
        <w:spacing w:after="120" w:before="0" w:line="100" w:lineRule="atLeast"/>
      </w:pPr>
      <w:r>
        <w:rPr>
          <w:sz w:val="24"/>
          <w:szCs w:val="24"/>
        </w:rPr>
        <w:t xml:space="preserve">Desarrolle una mirada crítica y reflexiva sobre las prácticas territoriales y sobre las propias intervenciones del equipo. </w:t>
      </w:r>
    </w:p>
    <w:p>
      <w:pPr>
        <w:pStyle w:val="style81"/>
        <w:widowControl w:val="false"/>
        <w:numPr>
          <w:ilvl w:val="0"/>
          <w:numId w:val="4"/>
        </w:numPr>
        <w:overflowPunct w:val="false"/>
        <w:spacing w:after="120" w:before="0" w:line="100" w:lineRule="atLeast"/>
      </w:pPr>
      <w:r>
        <w:rPr>
          <w:sz w:val="24"/>
          <w:szCs w:val="24"/>
        </w:rPr>
        <w:t xml:space="preserve">Reconozca y diferencie abordajes comunitarios desde una perspectiva de derechos de aquellos que se basan en el asistencialismo o en el individualismo y la meritocracia.  </w:t>
      </w:r>
    </w:p>
    <w:p>
      <w:pPr>
        <w:pStyle w:val="style0"/>
        <w:spacing w:after="120" w:before="0" w:line="100" w:lineRule="atLeast"/>
        <w:ind w:hanging="0" w:left="720" w:right="0"/>
      </w:pPr>
      <w:r>
        <w:rPr/>
      </w:r>
    </w:p>
    <w:p>
      <w:pPr>
        <w:pStyle w:val="style0"/>
        <w:shd w:fill="D9D9D9" w:val="clear"/>
        <w:spacing w:after="120" w:before="0" w:line="100" w:lineRule="atLeast"/>
        <w:jc w:val="both"/>
      </w:pPr>
      <w:r>
        <w:rPr>
          <w:rFonts w:cs="Times New Roman"/>
          <w:b/>
          <w:sz w:val="24"/>
          <w:szCs w:val="24"/>
        </w:rPr>
        <w:t>e) CONTENIDOS ORGANIZADOS EN UNIDADES TEMÁTICAS</w:t>
      </w:r>
    </w:p>
    <w:p>
      <w:pPr>
        <w:pStyle w:val="style0"/>
        <w:spacing w:after="120" w:before="0" w:line="100" w:lineRule="atLeast"/>
        <w:jc w:val="both"/>
      </w:pPr>
      <w:r>
        <w:rPr/>
      </w:r>
    </w:p>
    <w:p>
      <w:pPr>
        <w:pStyle w:val="style0"/>
        <w:spacing w:after="120" w:before="0" w:line="100" w:lineRule="atLeast"/>
        <w:jc w:val="both"/>
      </w:pPr>
      <w:r>
        <w:rPr>
          <w:rFonts w:cs="Times New Roman"/>
          <w:b/>
          <w:sz w:val="24"/>
          <w:szCs w:val="24"/>
        </w:rPr>
        <w:t>UNIDAD 1.</w:t>
      </w:r>
      <w:r>
        <w:rPr>
          <w:rFonts w:cs="Times New Roman"/>
          <w:b/>
          <w:sz w:val="24"/>
          <w:szCs w:val="24"/>
          <w:shd w:fill="FFFFFF" w:val="clear"/>
        </w:rPr>
        <w:t xml:space="preserve"> ABORDAJE Y PROCESO GRUPAL </w:t>
      </w:r>
    </w:p>
    <w:p>
      <w:pPr>
        <w:pStyle w:val="style0"/>
        <w:spacing w:after="120" w:before="0" w:line="100" w:lineRule="atLeast"/>
        <w:jc w:val="both"/>
      </w:pPr>
      <w:r>
        <w:rPr>
          <w:rFonts w:cs="Times New Roman"/>
          <w:sz w:val="24"/>
          <w:szCs w:val="24"/>
          <w:shd w:fill="FFFFFF" w:val="clear"/>
        </w:rPr>
        <w:t xml:space="preserve">A) Los grupos centrados en una tarea. Noción de tarea. Tarea, pretarea y proyecto. Elementos básicos del proceso grupal: escena grupal, rol, transferencia, red o trama grupal, la ilusión grupal, emergente, portavoz, resistencias grupales y subjetivas. </w:t>
      </w:r>
    </w:p>
    <w:p>
      <w:pPr>
        <w:pStyle w:val="style0"/>
        <w:spacing w:after="120" w:before="0" w:line="100" w:lineRule="atLeast"/>
        <w:jc w:val="both"/>
      </w:pPr>
      <w:r>
        <w:rPr>
          <w:rFonts w:cs="Times New Roman"/>
          <w:sz w:val="24"/>
          <w:szCs w:val="24"/>
          <w:shd w:fill="FFFFFF" w:val="clear"/>
        </w:rPr>
        <w:t xml:space="preserve">B) El grupo como dispositivo. Tres momentos epistémicos de lo grupal. Distintos dispositivos grupales: taller, grupo de reflexión, grupo operativo, equipo de trabajo. </w:t>
      </w:r>
    </w:p>
    <w:p>
      <w:pPr>
        <w:pStyle w:val="style0"/>
        <w:spacing w:after="120" w:before="0" w:line="100" w:lineRule="atLeast"/>
        <w:jc w:val="both"/>
      </w:pPr>
      <w:r>
        <w:rPr>
          <w:rFonts w:cs="Times New Roman"/>
          <w:sz w:val="24"/>
          <w:szCs w:val="24"/>
          <w:shd w:fill="FFFFFF" w:val="clear"/>
        </w:rPr>
        <w:t>C) El lugar del coordinador. Protagonismo grupal y singular. Lo colectivo y la multiplicación de sentidos. Del estereotipo y lo congelado a lo creativo y lo múltiple.</w:t>
      </w:r>
    </w:p>
    <w:p>
      <w:pPr>
        <w:pStyle w:val="style0"/>
        <w:spacing w:after="120" w:before="0" w:line="100" w:lineRule="atLeast"/>
        <w:jc w:val="both"/>
      </w:pPr>
      <w:r>
        <w:rPr>
          <w:rFonts w:cs="Times New Roman"/>
          <w:b/>
          <w:sz w:val="24"/>
          <w:szCs w:val="24"/>
          <w:shd w:fill="FFFFFF" w:val="clear"/>
        </w:rPr>
        <w:t>BIBLIOGRAFÍA OBLIGATORIA</w:t>
      </w:r>
    </w:p>
    <w:p>
      <w:pPr>
        <w:pStyle w:val="style0"/>
        <w:widowControl w:val="false"/>
        <w:numPr>
          <w:ilvl w:val="0"/>
          <w:numId w:val="5"/>
        </w:numPr>
        <w:overflowPunct w:val="false"/>
        <w:spacing w:after="120" w:before="0" w:line="100" w:lineRule="atLeast"/>
      </w:pPr>
      <w:r>
        <w:rPr>
          <w:sz w:val="24"/>
          <w:szCs w:val="24"/>
        </w:rPr>
        <w:t xml:space="preserve">Del Cueto, Ana M. y Fernández, Ana M.(2000), El dispositivo grupal, en De Brasi, J.C. y Pavlovsky, E. </w:t>
      </w:r>
      <w:r>
        <w:rPr>
          <w:i/>
          <w:sz w:val="24"/>
          <w:szCs w:val="24"/>
        </w:rPr>
        <w:t>Lo grupal</w:t>
      </w:r>
      <w:r>
        <w:rPr>
          <w:sz w:val="24"/>
          <w:szCs w:val="24"/>
        </w:rPr>
        <w:t xml:space="preserve">. </w:t>
      </w:r>
      <w:r>
        <w:rPr>
          <w:i/>
          <w:sz w:val="24"/>
          <w:szCs w:val="24"/>
        </w:rPr>
        <w:t>Historias – Devenires</w:t>
      </w:r>
      <w:r>
        <w:rPr>
          <w:sz w:val="24"/>
          <w:szCs w:val="24"/>
        </w:rPr>
        <w:t>. Buenos Aires: Galerna-Búsqueda de Ayllú</w:t>
      </w:r>
    </w:p>
    <w:p>
      <w:pPr>
        <w:pStyle w:val="style0"/>
        <w:widowControl w:val="false"/>
        <w:numPr>
          <w:ilvl w:val="0"/>
          <w:numId w:val="5"/>
        </w:numPr>
        <w:overflowPunct w:val="false"/>
        <w:spacing w:after="120" w:before="0" w:line="100" w:lineRule="atLeast"/>
      </w:pPr>
      <w:r>
        <w:rPr>
          <w:sz w:val="24"/>
          <w:szCs w:val="24"/>
        </w:rPr>
        <w:t xml:space="preserve">Fernández, Ana M. (1997), El nudo grupal, Capítulo 7 de </w:t>
      </w:r>
      <w:r>
        <w:rPr>
          <w:i/>
          <w:sz w:val="24"/>
          <w:szCs w:val="24"/>
        </w:rPr>
        <w:t>El campo grupal. Notas para una genealogía</w:t>
      </w:r>
      <w:r>
        <w:rPr>
          <w:sz w:val="24"/>
          <w:szCs w:val="24"/>
        </w:rPr>
        <w:t>. Buenos Aires: Ediciones Nueva Visión.</w:t>
      </w:r>
    </w:p>
    <w:p>
      <w:pPr>
        <w:pStyle w:val="style0"/>
        <w:widowControl w:val="false"/>
        <w:numPr>
          <w:ilvl w:val="0"/>
          <w:numId w:val="5"/>
        </w:numPr>
        <w:overflowPunct w:val="false"/>
        <w:spacing w:after="120" w:before="0" w:line="100" w:lineRule="atLeast"/>
      </w:pPr>
      <w:r>
        <w:rPr>
          <w:sz w:val="24"/>
          <w:szCs w:val="24"/>
        </w:rPr>
        <w:t xml:space="preserve">Jasiner, Graciela (2007), Los grupos centrados en una tarea, en </w:t>
      </w:r>
      <w:r>
        <w:rPr>
          <w:i/>
          <w:sz w:val="24"/>
          <w:szCs w:val="24"/>
        </w:rPr>
        <w:t>Coordinando Grupo. Una lógica para los pequeños grupos</w:t>
      </w:r>
      <w:r>
        <w:rPr>
          <w:sz w:val="24"/>
          <w:szCs w:val="24"/>
        </w:rPr>
        <w:t xml:space="preserve">. Buenos Aires: Lugar Editorial. </w:t>
      </w:r>
    </w:p>
    <w:p>
      <w:pPr>
        <w:pStyle w:val="style0"/>
        <w:widowControl w:val="false"/>
        <w:numPr>
          <w:ilvl w:val="0"/>
          <w:numId w:val="5"/>
        </w:numPr>
        <w:overflowPunct w:val="false"/>
        <w:spacing w:after="120" w:before="0" w:line="100" w:lineRule="atLeast"/>
      </w:pPr>
      <w:r>
        <w:rPr>
          <w:sz w:val="24"/>
          <w:szCs w:val="24"/>
        </w:rPr>
        <w:t xml:space="preserve">Kaminsky, Gregorio y Varela, Cristian (2001) Grupo objeto y grupo sujeto. http://www.cristianvarela.com.ar/textos/guattari-transversalidad-institucional </w:t>
      </w:r>
    </w:p>
    <w:p>
      <w:pPr>
        <w:pStyle w:val="style0"/>
        <w:widowControl w:val="false"/>
        <w:numPr>
          <w:ilvl w:val="0"/>
          <w:numId w:val="5"/>
        </w:numPr>
        <w:overflowPunct w:val="false"/>
        <w:spacing w:after="120" w:before="0" w:line="100" w:lineRule="atLeast"/>
      </w:pPr>
      <w:r>
        <w:rPr>
          <w:sz w:val="24"/>
          <w:szCs w:val="24"/>
        </w:rPr>
        <w:t xml:space="preserve">Pichon-Rivière, Enrique (1982) , La noción de tarea en psiquiatría, en </w:t>
      </w:r>
      <w:r>
        <w:rPr>
          <w:i/>
          <w:sz w:val="24"/>
          <w:szCs w:val="24"/>
        </w:rPr>
        <w:t xml:space="preserve">El proceso grupal. Del psicoanálisis a la psicología social </w:t>
      </w:r>
      <w:r>
        <w:rPr>
          <w:sz w:val="24"/>
          <w:szCs w:val="24"/>
        </w:rPr>
        <w:t>(1). Buenos Aires: Ediciones Nueva Visión</w:t>
      </w:r>
    </w:p>
    <w:p>
      <w:pPr>
        <w:pStyle w:val="style0"/>
        <w:widowControl w:val="false"/>
        <w:overflowPunct w:val="false"/>
        <w:spacing w:after="120" w:before="0" w:line="100" w:lineRule="atLeast"/>
      </w:pPr>
      <w:r>
        <w:rPr/>
      </w:r>
    </w:p>
    <w:p>
      <w:pPr>
        <w:pStyle w:val="style0"/>
        <w:spacing w:after="120" w:before="0" w:line="100" w:lineRule="atLeast"/>
        <w:jc w:val="both"/>
      </w:pPr>
      <w:r>
        <w:rPr>
          <w:rFonts w:cs="Times New Roman"/>
          <w:b/>
          <w:sz w:val="24"/>
          <w:szCs w:val="24"/>
          <w:shd w:fill="FFFFFF" w:val="clear"/>
        </w:rPr>
        <w:t>BIBLIOGRAFÍA RECOMENDADA</w:t>
      </w:r>
    </w:p>
    <w:p>
      <w:pPr>
        <w:pStyle w:val="style0"/>
        <w:widowControl w:val="false"/>
        <w:numPr>
          <w:ilvl w:val="0"/>
          <w:numId w:val="5"/>
        </w:numPr>
        <w:overflowPunct w:val="false"/>
        <w:spacing w:after="120" w:before="0" w:line="100" w:lineRule="atLeast"/>
      </w:pPr>
      <w:r>
        <w:rPr>
          <w:sz w:val="24"/>
          <w:szCs w:val="24"/>
        </w:rPr>
        <w:t xml:space="preserve">Agamben Giorgio, (2006) ¿Qué es un dispositivo? Sociológica, año 26, número 73, pp. 249-264 mayo-agosto de 2011. Recuperado en septiembre de 2017 </w:t>
      </w:r>
      <w:hyperlink r:id="rId2">
        <w:r>
          <w:rPr>
            <w:rStyle w:val="style28"/>
            <w:rStyle w:val="style28"/>
            <w:rFonts w:cs="Calibri"/>
            <w:sz w:val="24"/>
            <w:szCs w:val="24"/>
          </w:rPr>
          <w:t>http://www.scielo.org.mx/pdf/soc/v26n73/v26n73a10.pdf</w:t>
        </w:r>
      </w:hyperlink>
      <w:r>
        <w:rPr>
          <w:sz w:val="24"/>
          <w:szCs w:val="24"/>
        </w:rPr>
        <w:t xml:space="preserve"> </w:t>
      </w:r>
    </w:p>
    <w:p>
      <w:pPr>
        <w:pStyle w:val="style0"/>
        <w:widowControl w:val="false"/>
        <w:numPr>
          <w:ilvl w:val="0"/>
          <w:numId w:val="5"/>
        </w:numPr>
        <w:overflowPunct w:val="false"/>
        <w:spacing w:after="120" w:before="0" w:line="100" w:lineRule="atLeast"/>
      </w:pPr>
      <w:r>
        <w:rPr>
          <w:sz w:val="24"/>
          <w:szCs w:val="24"/>
        </w:rPr>
        <w:t xml:space="preserve">Edelman, Lucila y Kordon Diana (2011), Grupos de reflexión. Elaboración del trauma social, en </w:t>
      </w:r>
      <w:r>
        <w:rPr>
          <w:i/>
          <w:sz w:val="24"/>
          <w:szCs w:val="24"/>
        </w:rPr>
        <w:t>Trabajando en y con los grupos. Vínculo y herramientas.</w:t>
      </w:r>
      <w:r>
        <w:rPr>
          <w:sz w:val="24"/>
          <w:szCs w:val="24"/>
        </w:rPr>
        <w:t xml:space="preserve">  Buenos Aires: Ediciones Psicolibros</w:t>
      </w:r>
    </w:p>
    <w:p>
      <w:pPr>
        <w:pStyle w:val="style0"/>
        <w:widowControl w:val="false"/>
        <w:numPr>
          <w:ilvl w:val="0"/>
          <w:numId w:val="5"/>
        </w:numPr>
        <w:overflowPunct w:val="false"/>
        <w:spacing w:after="120" w:before="0" w:line="100" w:lineRule="atLeast"/>
      </w:pPr>
      <w:r>
        <w:rPr>
          <w:sz w:val="24"/>
          <w:szCs w:val="24"/>
        </w:rPr>
        <w:t xml:space="preserve">Romero, Beatriz (entrevistadora) (2002), El taller: ¿método, técnica, concepción de trabajo?, en </w:t>
      </w:r>
      <w:r>
        <w:rPr>
          <w:i/>
          <w:sz w:val="24"/>
          <w:szCs w:val="24"/>
        </w:rPr>
        <w:t>Temas de Psicología Social</w:t>
      </w:r>
      <w:r>
        <w:rPr>
          <w:sz w:val="24"/>
          <w:szCs w:val="24"/>
        </w:rPr>
        <w:t xml:space="preserve">, Año 22, Nº21. Buenos Aires: Ediciones Cinco. </w:t>
      </w:r>
    </w:p>
    <w:p>
      <w:pPr>
        <w:pStyle w:val="style0"/>
        <w:spacing w:after="120" w:before="0" w:line="100" w:lineRule="atLeast"/>
        <w:jc w:val="both"/>
      </w:pPr>
      <w:r>
        <w:rPr/>
      </w:r>
    </w:p>
    <w:p>
      <w:pPr>
        <w:pStyle w:val="style0"/>
        <w:spacing w:after="120" w:before="0" w:line="100" w:lineRule="atLeast"/>
        <w:jc w:val="both"/>
      </w:pPr>
      <w:r>
        <w:rPr>
          <w:rFonts w:cs="Times New Roman"/>
          <w:b/>
          <w:sz w:val="24"/>
          <w:szCs w:val="24"/>
        </w:rPr>
        <w:t xml:space="preserve">UNIDAD 2. RECURSOS TÉCNICOS LUDICOS Y CREATIVOS PARA INTERVENCIONES GRUPALES Y COMUNITARIAS. </w:t>
      </w:r>
    </w:p>
    <w:p>
      <w:pPr>
        <w:pStyle w:val="style0"/>
        <w:spacing w:after="120" w:before="0" w:line="100" w:lineRule="atLeast"/>
        <w:jc w:val="both"/>
      </w:pPr>
      <w:r>
        <w:rPr>
          <w:rFonts w:cs="Times New Roman"/>
          <w:sz w:val="24"/>
          <w:szCs w:val="24"/>
        </w:rPr>
        <w:t xml:space="preserve">A) Distintas perspectivas teóricas sobre el juego, desde la antropología a las teorías psiconalíticas. Creatividad, juego y proceso creador. La multiplicación de sentidos como estrategia creativa. Júbilo lúdico, júbilo grupal y proceso de liberación. </w:t>
      </w:r>
    </w:p>
    <w:p>
      <w:pPr>
        <w:pStyle w:val="style0"/>
        <w:spacing w:after="120" w:before="0" w:line="100" w:lineRule="atLeast"/>
        <w:jc w:val="both"/>
      </w:pPr>
      <w:r>
        <w:rPr>
          <w:rFonts w:cs="Times New Roman"/>
          <w:sz w:val="24"/>
          <w:szCs w:val="24"/>
        </w:rPr>
        <w:t xml:space="preserve">B) Los distintos usos de las técnicas lúdicas y creativas en el ámbito grupal y otros espacios colectivos. Talleres vivenciales para los estudiantes universitarios en los que se instrumentarán sobre estos recursos. </w:t>
      </w:r>
    </w:p>
    <w:p>
      <w:pPr>
        <w:pStyle w:val="style0"/>
        <w:spacing w:after="120" w:before="0" w:line="100" w:lineRule="atLeast"/>
        <w:jc w:val="both"/>
      </w:pPr>
      <w:r>
        <w:rPr>
          <w:rFonts w:cs="Times New Roman"/>
          <w:b/>
          <w:sz w:val="24"/>
          <w:szCs w:val="24"/>
        </w:rPr>
        <w:t>BIBLIOGRAFÍA OBLIGATORIA</w:t>
      </w:r>
    </w:p>
    <w:p>
      <w:pPr>
        <w:pStyle w:val="style0"/>
        <w:widowControl w:val="false"/>
        <w:numPr>
          <w:ilvl w:val="0"/>
          <w:numId w:val="5"/>
        </w:numPr>
        <w:overflowPunct w:val="false"/>
        <w:spacing w:after="120" w:before="0" w:line="100" w:lineRule="atLeast"/>
      </w:pPr>
      <w:r>
        <w:rPr>
          <w:sz w:val="24"/>
          <w:szCs w:val="24"/>
        </w:rPr>
        <w:t xml:space="preserve">Pavlovsky, E. (2007) Historia de un espacio lúdico. </w:t>
      </w:r>
      <w:r>
        <w:rPr>
          <w:sz w:val="24"/>
          <w:szCs w:val="24"/>
          <w:lang w:val="de-DE"/>
        </w:rPr>
        <w:t xml:space="preserve">En Pavlovsky, E. y Kesselman, H. (Eds.) </w:t>
      </w:r>
      <w:r>
        <w:rPr>
          <w:i/>
          <w:iCs/>
          <w:sz w:val="24"/>
          <w:szCs w:val="24"/>
        </w:rPr>
        <w:t>Espacio y creatividad</w:t>
      </w:r>
      <w:r>
        <w:rPr>
          <w:sz w:val="24"/>
          <w:szCs w:val="24"/>
        </w:rPr>
        <w:t xml:space="preserve">. Buenos Aires: Editorial Galerna. </w:t>
      </w:r>
    </w:p>
    <w:p>
      <w:pPr>
        <w:pStyle w:val="style0"/>
        <w:widowControl w:val="false"/>
        <w:numPr>
          <w:ilvl w:val="0"/>
          <w:numId w:val="5"/>
        </w:numPr>
        <w:overflowPunct w:val="false"/>
        <w:spacing w:after="120" w:before="0" w:line="100" w:lineRule="atLeast"/>
      </w:pPr>
      <w:r>
        <w:rPr>
          <w:sz w:val="24"/>
          <w:szCs w:val="24"/>
        </w:rPr>
        <w:t xml:space="preserve">Setton, Yaki (1990) </w:t>
      </w:r>
      <w:r>
        <w:rPr>
          <w:i/>
          <w:sz w:val="24"/>
          <w:szCs w:val="24"/>
        </w:rPr>
        <w:t>La revuelta surrealista</w:t>
      </w:r>
      <w:r>
        <w:rPr>
          <w:sz w:val="24"/>
          <w:szCs w:val="24"/>
        </w:rPr>
        <w:t>. Buenos Aires: Libros del Quirquincho.</w:t>
      </w:r>
    </w:p>
    <w:p>
      <w:pPr>
        <w:pStyle w:val="style0"/>
        <w:widowControl w:val="false"/>
        <w:numPr>
          <w:ilvl w:val="0"/>
          <w:numId w:val="5"/>
        </w:numPr>
        <w:overflowPunct w:val="false"/>
        <w:spacing w:after="120" w:before="0" w:line="100" w:lineRule="atLeast"/>
      </w:pPr>
      <w:r>
        <w:rPr>
          <w:sz w:val="24"/>
          <w:szCs w:val="24"/>
        </w:rPr>
        <w:t>Viñas, Silvia (2017), Explorando los modos de habitar lo lúdico: una experiencia grupal de formación, en Bebés y niños pequeños. Atención temprana desde la perspectiva del psicoanálisis, Buenos Aires: Letra Viva.</w:t>
      </w:r>
    </w:p>
    <w:p>
      <w:pPr>
        <w:pStyle w:val="style0"/>
        <w:widowControl w:val="false"/>
        <w:numPr>
          <w:ilvl w:val="0"/>
          <w:numId w:val="5"/>
        </w:numPr>
        <w:overflowPunct w:val="false"/>
        <w:spacing w:after="120" w:before="0" w:line="100" w:lineRule="atLeast"/>
      </w:pPr>
      <w:r>
        <w:rPr>
          <w:sz w:val="24"/>
          <w:szCs w:val="24"/>
        </w:rPr>
        <w:t xml:space="preserve">Zygouris, R. (s/f). </w:t>
      </w:r>
      <w:r>
        <w:rPr>
          <w:i/>
          <w:iCs/>
          <w:sz w:val="24"/>
          <w:szCs w:val="24"/>
        </w:rPr>
        <w:t>El niño del júbilo. Exposición presentada en las Journées de la Fédération des Ateliers de Psychanalyse, cuyo tema fue “La sumisión”, en noviembre de 1998</w:t>
      </w:r>
      <w:r>
        <w:rPr>
          <w:sz w:val="24"/>
          <w:szCs w:val="24"/>
        </w:rPr>
        <w:t xml:space="preserve">. Recuperado el 17 de marzo del 2016 de </w:t>
      </w:r>
      <w:hyperlink r:id="rId3">
        <w:r>
          <w:rPr>
            <w:rStyle w:val="style28"/>
            <w:rStyle w:val="style28"/>
            <w:rFonts w:cs="Calibri"/>
            <w:sz w:val="24"/>
            <w:szCs w:val="24"/>
          </w:rPr>
          <w:t>http://www.radmila-zygouris.com/fr/livres/pulsions-de-vie/l-enfant-de-la-jubilation/el-nino-del-jubilo.html</w:t>
        </w:r>
      </w:hyperlink>
    </w:p>
    <w:p>
      <w:pPr>
        <w:pStyle w:val="style0"/>
        <w:widowControl w:val="false"/>
        <w:overflowPunct w:val="false"/>
        <w:spacing w:after="120" w:before="0" w:line="100" w:lineRule="atLeast"/>
      </w:pPr>
      <w:r>
        <w:rPr>
          <w:rFonts w:cs="Times New Roman"/>
          <w:b/>
          <w:sz w:val="24"/>
          <w:szCs w:val="24"/>
          <w:shd w:fill="FFFFFF" w:val="clear"/>
        </w:rPr>
        <w:t>BIBLIOGRAFÍA RECOMENDADA</w:t>
      </w:r>
      <w:r>
        <w:rPr>
          <w:sz w:val="24"/>
          <w:szCs w:val="24"/>
        </w:rPr>
        <w:t xml:space="preserve"> </w:t>
      </w:r>
    </w:p>
    <w:p>
      <w:pPr>
        <w:pStyle w:val="style0"/>
        <w:widowControl w:val="false"/>
        <w:numPr>
          <w:ilvl w:val="0"/>
          <w:numId w:val="5"/>
        </w:numPr>
        <w:overflowPunct w:val="false"/>
        <w:spacing w:after="120" w:before="0" w:line="100" w:lineRule="atLeast"/>
      </w:pPr>
      <w:r>
        <w:rPr>
          <w:sz w:val="24"/>
          <w:szCs w:val="24"/>
        </w:rPr>
        <w:t xml:space="preserve">Rodari Gianni (1997) </w:t>
      </w:r>
      <w:r>
        <w:rPr>
          <w:i/>
          <w:sz w:val="24"/>
          <w:szCs w:val="24"/>
        </w:rPr>
        <w:t>Gramática de la fantasía. Introducción al arte de inventar historias</w:t>
      </w:r>
      <w:r>
        <w:rPr>
          <w:sz w:val="24"/>
          <w:szCs w:val="24"/>
        </w:rPr>
        <w:t>, Buenos Aires: Ediciones Colihue</w:t>
      </w:r>
    </w:p>
    <w:p>
      <w:pPr>
        <w:pStyle w:val="style0"/>
        <w:widowControl w:val="false"/>
        <w:numPr>
          <w:ilvl w:val="0"/>
          <w:numId w:val="5"/>
        </w:numPr>
        <w:overflowPunct w:val="false"/>
        <w:spacing w:after="120" w:before="0" w:line="100" w:lineRule="atLeast"/>
      </w:pPr>
      <w:r>
        <w:rPr>
          <w:sz w:val="24"/>
          <w:szCs w:val="24"/>
        </w:rPr>
        <w:t xml:space="preserve">Winicott, Donald (1993), </w:t>
      </w:r>
      <w:r>
        <w:rPr>
          <w:i/>
          <w:sz w:val="24"/>
          <w:szCs w:val="24"/>
        </w:rPr>
        <w:t>Realidad y juego,</w:t>
      </w:r>
      <w:r>
        <w:rPr>
          <w:sz w:val="24"/>
          <w:szCs w:val="24"/>
        </w:rPr>
        <w:t xml:space="preserve"> Barcelona: Editorial Gedisa </w:t>
      </w:r>
    </w:p>
    <w:p>
      <w:pPr>
        <w:pStyle w:val="style0"/>
        <w:spacing w:after="120" w:before="0" w:line="100" w:lineRule="atLeast"/>
        <w:jc w:val="both"/>
      </w:pPr>
      <w:r>
        <w:rPr/>
      </w:r>
    </w:p>
    <w:p>
      <w:pPr>
        <w:pStyle w:val="style0"/>
        <w:widowControl w:val="false"/>
        <w:overflowPunct w:val="false"/>
        <w:spacing w:after="120" w:before="0" w:line="100" w:lineRule="atLeast"/>
      </w:pPr>
      <w:r>
        <w:rPr/>
      </w:r>
    </w:p>
    <w:p>
      <w:pPr>
        <w:pStyle w:val="style0"/>
        <w:spacing w:after="120" w:before="0" w:line="100" w:lineRule="atLeast"/>
        <w:jc w:val="both"/>
      </w:pPr>
      <w:r>
        <w:rPr>
          <w:rFonts w:cs="Times New Roman"/>
          <w:b/>
          <w:sz w:val="24"/>
          <w:szCs w:val="24"/>
        </w:rPr>
        <w:t>UNIDAD 3.</w:t>
      </w:r>
      <w:r>
        <w:rPr>
          <w:rFonts w:cs="Times New Roman"/>
          <w:b/>
          <w:sz w:val="24"/>
          <w:szCs w:val="24"/>
          <w:shd w:fill="FFFFFF" w:val="clear"/>
        </w:rPr>
        <w:t xml:space="preserve"> LO COMUNITARIO, EDUCACIÓN POPULAR  Y LAS PRÁCTICAS TERRITORIALES.</w:t>
      </w:r>
    </w:p>
    <w:p>
      <w:pPr>
        <w:pStyle w:val="style0"/>
        <w:spacing w:after="120" w:before="0" w:line="100" w:lineRule="atLeast"/>
        <w:jc w:val="both"/>
      </w:pPr>
      <w:r>
        <w:rPr>
          <w:rFonts w:cs="Times New Roman"/>
          <w:sz w:val="24"/>
          <w:szCs w:val="24"/>
          <w:shd w:fill="FFFFFF" w:val="clear"/>
        </w:rPr>
        <w:t xml:space="preserve">A) Lo comunitario y la comunidad. Posición comunitaria. La praxis, entre la teoría, la práctica y su reflexión. Interdisciplinariedad y sistematización, herramientas para el trabajo en territorio y su elaboración teórica. </w:t>
      </w:r>
    </w:p>
    <w:p>
      <w:pPr>
        <w:pStyle w:val="style0"/>
        <w:spacing w:after="120" w:before="0" w:line="100" w:lineRule="atLeast"/>
        <w:jc w:val="both"/>
      </w:pPr>
      <w:r>
        <w:rPr>
          <w:rFonts w:cs="Times New Roman"/>
          <w:sz w:val="24"/>
          <w:szCs w:val="24"/>
          <w:shd w:fill="FFFFFF" w:val="clear"/>
        </w:rPr>
        <w:t xml:space="preserve">B) La educación popular desde la perspectiva de Paulo Freire. De la pedagogía del oprimido a la pedagogía de la pregunta. </w:t>
      </w:r>
    </w:p>
    <w:p>
      <w:pPr>
        <w:pStyle w:val="style0"/>
        <w:spacing w:after="120" w:before="0" w:line="100" w:lineRule="atLeast"/>
        <w:jc w:val="both"/>
      </w:pPr>
      <w:r>
        <w:rPr>
          <w:rFonts w:cs="Times New Roman"/>
          <w:sz w:val="24"/>
          <w:szCs w:val="24"/>
          <w:shd w:fill="FFFFFF" w:val="clear"/>
        </w:rPr>
        <w:t xml:space="preserve">C) La perspectiva de derechos humanos y su tensión con la perspectiva de necesidad y asistencial. Nociones fundamentales sobre Derechos Humanos. Sujeto de derechos humanos, de lo particular a lo social y político </w:t>
      </w:r>
    </w:p>
    <w:p>
      <w:pPr>
        <w:pStyle w:val="style0"/>
        <w:spacing w:after="120" w:before="0" w:line="100" w:lineRule="atLeast"/>
        <w:jc w:val="both"/>
      </w:pPr>
      <w:r>
        <w:rPr>
          <w:rFonts w:cs="Times New Roman"/>
          <w:b/>
          <w:sz w:val="24"/>
          <w:szCs w:val="24"/>
          <w:shd w:fill="FFFFFF" w:val="clear"/>
        </w:rPr>
        <w:t>BIBLIOGRAFÍA OBLIGATORIA</w:t>
      </w:r>
    </w:p>
    <w:p>
      <w:pPr>
        <w:pStyle w:val="style81"/>
        <w:numPr>
          <w:ilvl w:val="0"/>
          <w:numId w:val="9"/>
        </w:numPr>
        <w:spacing w:after="120" w:before="0" w:line="100" w:lineRule="atLeast"/>
        <w:jc w:val="both"/>
      </w:pPr>
      <w:r>
        <w:rPr>
          <w:sz w:val="24"/>
          <w:szCs w:val="24"/>
        </w:rPr>
        <w:t xml:space="preserve">Badiou, Alain. </w:t>
      </w:r>
      <w:r>
        <w:rPr>
          <w:bCs/>
          <w:i/>
          <w:iCs/>
          <w:sz w:val="24"/>
          <w:szCs w:val="24"/>
          <w:lang w:val="es-ES"/>
        </w:rPr>
        <w:t>Ética y Derechos Humanos frente al peligro de la barbarie.</w:t>
      </w:r>
      <w:r>
        <w:rPr>
          <w:sz w:val="24"/>
          <w:szCs w:val="24"/>
          <w:lang w:val="es-ES"/>
        </w:rPr>
        <w:t xml:space="preserve"> Suplemento Univ. Popular Madres de Plaza de Mayo del diario Página/12 del 2-6-02.</w:t>
      </w:r>
    </w:p>
    <w:p>
      <w:pPr>
        <w:pStyle w:val="style81"/>
        <w:numPr>
          <w:ilvl w:val="0"/>
          <w:numId w:val="9"/>
        </w:numPr>
        <w:tabs>
          <w:tab w:leader="none" w:pos="1440" w:val="left"/>
          <w:tab w:leader="none" w:pos="1724" w:val="left"/>
          <w:tab w:leader="none" w:pos="1866" w:val="left"/>
        </w:tabs>
        <w:spacing w:after="120" w:before="0" w:line="100" w:lineRule="atLeast"/>
        <w:jc w:val="both"/>
      </w:pPr>
      <w:hyperlink r:id="rId4">
        <w:r>
          <w:rPr>
            <w:rStyle w:val="style28"/>
            <w:rStyle w:val="style28"/>
            <w:rFonts w:cs="Calibri"/>
            <w:color w:val="00000A"/>
            <w:sz w:val="24"/>
            <w:szCs w:val="24"/>
            <w:u w:val="none"/>
          </w:rPr>
          <w:t>Faundez</w:t>
        </w:r>
      </w:hyperlink>
      <w:r>
        <w:rPr>
          <w:color w:val="00000A"/>
          <w:sz w:val="24"/>
          <w:szCs w:val="24"/>
        </w:rPr>
        <w:t xml:space="preserve">, Antonio y </w:t>
      </w:r>
      <w:hyperlink r:id="rId5">
        <w:r>
          <w:rPr>
            <w:rStyle w:val="style28"/>
            <w:rStyle w:val="style28"/>
            <w:rFonts w:cs="Calibri"/>
            <w:color w:val="00000A"/>
            <w:sz w:val="24"/>
            <w:szCs w:val="24"/>
            <w:u w:val="none"/>
          </w:rPr>
          <w:t>Freire</w:t>
        </w:r>
      </w:hyperlink>
      <w:r>
        <w:rPr>
          <w:color w:val="00000A"/>
          <w:sz w:val="24"/>
          <w:szCs w:val="24"/>
        </w:rPr>
        <w:t>, Paulo </w:t>
      </w:r>
      <w:r>
        <w:rPr>
          <w:sz w:val="24"/>
          <w:szCs w:val="24"/>
        </w:rPr>
        <w:t xml:space="preserve">(2014) </w:t>
      </w:r>
      <w:r>
        <w:rPr>
          <w:i/>
          <w:sz w:val="24"/>
          <w:szCs w:val="24"/>
        </w:rPr>
        <w:t>Por</w:t>
      </w:r>
      <w:r>
        <w:rPr>
          <w:i/>
          <w:color w:val="00000A"/>
          <w:sz w:val="24"/>
          <w:szCs w:val="24"/>
        </w:rPr>
        <w:t xml:space="preserve"> una pedagogía de la pregunta</w:t>
      </w:r>
      <w:r>
        <w:rPr>
          <w:i/>
          <w:sz w:val="24"/>
          <w:szCs w:val="24"/>
        </w:rPr>
        <w:t>. Crítica</w:t>
      </w:r>
      <w:r>
        <w:rPr>
          <w:i/>
          <w:color w:val="00000A"/>
          <w:sz w:val="24"/>
          <w:szCs w:val="24"/>
        </w:rPr>
        <w:t xml:space="preserve"> a una educación basada en respuestas a preguntas inexistentes</w:t>
      </w:r>
      <w:r>
        <w:rPr>
          <w:i/>
          <w:sz w:val="24"/>
          <w:szCs w:val="24"/>
        </w:rPr>
        <w:t xml:space="preserve">. </w:t>
      </w:r>
      <w:r>
        <w:rPr>
          <w:sz w:val="24"/>
          <w:szCs w:val="24"/>
        </w:rPr>
        <w:t xml:space="preserve">Ediciones Siglo XXI </w:t>
      </w:r>
    </w:p>
    <w:p>
      <w:pPr>
        <w:pStyle w:val="style81"/>
        <w:numPr>
          <w:ilvl w:val="0"/>
          <w:numId w:val="9"/>
        </w:numPr>
        <w:spacing w:after="120" w:before="0" w:line="100" w:lineRule="atLeast"/>
        <w:jc w:val="both"/>
      </w:pPr>
      <w:r>
        <w:rPr>
          <w:sz w:val="24"/>
          <w:szCs w:val="24"/>
        </w:rPr>
        <w:t xml:space="preserve">Ferreira, Marcelo (1998). </w:t>
      </w:r>
      <w:r>
        <w:rPr>
          <w:i/>
          <w:sz w:val="24"/>
          <w:szCs w:val="24"/>
        </w:rPr>
        <w:t>Los Derechos Humanos en el discurso ideológico</w:t>
      </w:r>
      <w:r>
        <w:rPr>
          <w:sz w:val="24"/>
          <w:szCs w:val="24"/>
        </w:rPr>
        <w:t>. Revista “Cuentas Pendientes” Nº 7, Año 2, Publicación de la Cátedra Libre de DDHH de la Fac. de Filosofía y Letras – UBA</w:t>
      </w:r>
    </w:p>
    <w:p>
      <w:pPr>
        <w:pStyle w:val="style0"/>
        <w:widowControl w:val="false"/>
        <w:numPr>
          <w:ilvl w:val="0"/>
          <w:numId w:val="9"/>
        </w:numPr>
        <w:overflowPunct w:val="false"/>
        <w:spacing w:after="120" w:before="0" w:line="100" w:lineRule="atLeast"/>
      </w:pPr>
      <w:r>
        <w:rPr>
          <w:sz w:val="24"/>
          <w:szCs w:val="24"/>
        </w:rPr>
        <w:t xml:space="preserve">Lischetti, Mirhta (2008), </w:t>
      </w:r>
      <w:r>
        <w:rPr>
          <w:i/>
          <w:sz w:val="24"/>
          <w:szCs w:val="24"/>
        </w:rPr>
        <w:t>Vinculación Universidad– Sociedad</w:t>
      </w:r>
      <w:r>
        <w:rPr>
          <w:sz w:val="24"/>
          <w:szCs w:val="24"/>
        </w:rPr>
        <w:t xml:space="preserve">. Seminario “Universidad y sociedad. Programas de innovación y transferencia social”. Recuperado el 2 septiembre de 2016 de </w:t>
      </w:r>
      <w:hyperlink r:id="rId6">
        <w:r>
          <w:rPr>
            <w:rStyle w:val="style28"/>
            <w:rStyle w:val="style28"/>
            <w:rFonts w:cs="Calibri"/>
            <w:sz w:val="24"/>
            <w:szCs w:val="24"/>
          </w:rPr>
          <w:t>http://cidac.filo.uba.ar/sites/cidac.filo.uba.ar/files/revistas/adjuntos/Mirtha%20Lischetti%20-%20Vinculaci%C3%B3n%20Universidad-Sociedad.pdf</w:t>
        </w:r>
      </w:hyperlink>
      <w:r>
        <w:rPr>
          <w:sz w:val="24"/>
          <w:szCs w:val="24"/>
        </w:rPr>
        <w:t xml:space="preserve">  </w:t>
      </w:r>
    </w:p>
    <w:p>
      <w:pPr>
        <w:pStyle w:val="style81"/>
        <w:numPr>
          <w:ilvl w:val="0"/>
          <w:numId w:val="6"/>
        </w:numPr>
        <w:spacing w:after="120" w:before="0" w:line="100" w:lineRule="atLeast"/>
        <w:jc w:val="both"/>
      </w:pPr>
      <w:r>
        <w:rPr>
          <w:sz w:val="24"/>
          <w:szCs w:val="24"/>
        </w:rPr>
        <w:t xml:space="preserve">Corea, Cristina, de la Aldea, Elena, e Ignacio Lewkowicz (1998). </w:t>
      </w:r>
      <w:r>
        <w:rPr>
          <w:i/>
          <w:sz w:val="24"/>
          <w:szCs w:val="24"/>
        </w:rPr>
        <w:t xml:space="preserve"> La comunidad entre lo privado y lo público</w:t>
      </w:r>
      <w:r>
        <w:rPr>
          <w:sz w:val="24"/>
          <w:szCs w:val="24"/>
        </w:rPr>
        <w:t xml:space="preserve">, Revista Campo grupal  N° 2 : 12/13. </w:t>
      </w:r>
    </w:p>
    <w:p>
      <w:pPr>
        <w:pStyle w:val="style81"/>
        <w:numPr>
          <w:ilvl w:val="0"/>
          <w:numId w:val="7"/>
        </w:numPr>
        <w:tabs>
          <w:tab w:leader="none" w:pos="1440" w:val="left"/>
          <w:tab w:leader="none" w:pos="1724" w:val="left"/>
          <w:tab w:leader="none" w:pos="1866" w:val="left"/>
        </w:tabs>
        <w:spacing w:after="120" w:before="0" w:line="100" w:lineRule="atLeast"/>
        <w:jc w:val="both"/>
      </w:pPr>
      <w:r>
        <w:rPr>
          <w:sz w:val="24"/>
          <w:szCs w:val="24"/>
        </w:rPr>
        <w:t>Viñas, Silvia (2012),</w:t>
      </w:r>
      <w:r>
        <w:rPr>
          <w:b/>
          <w:bCs/>
          <w:iCs/>
          <w:sz w:val="24"/>
          <w:szCs w:val="24"/>
          <w:lang w:val="es-ES"/>
        </w:rPr>
        <w:t xml:space="preserve"> </w:t>
      </w:r>
      <w:r>
        <w:rPr>
          <w:bCs/>
          <w:i/>
          <w:iCs/>
          <w:sz w:val="24"/>
          <w:szCs w:val="24"/>
          <w:lang w:val="es-ES"/>
        </w:rPr>
        <w:t>La comunidad, lo comunitario. Sobre bordes y abordajes</w:t>
      </w:r>
      <w:r>
        <w:rPr>
          <w:sz w:val="24"/>
          <w:szCs w:val="24"/>
        </w:rPr>
        <w:t>. Ponencia en Jornadas de debate interno del Centro de Innovación y Desarrollo para la Acción Comunitaria (CIDAC) de la Facultad de Filosofía y Letras de la UBA, 15 y 16 de marzo de 2012</w:t>
      </w:r>
    </w:p>
    <w:p>
      <w:pPr>
        <w:pStyle w:val="style81"/>
        <w:numPr>
          <w:ilvl w:val="0"/>
          <w:numId w:val="7"/>
        </w:numPr>
        <w:tabs>
          <w:tab w:leader="none" w:pos="1440" w:val="left"/>
          <w:tab w:leader="none" w:pos="1724" w:val="left"/>
          <w:tab w:leader="none" w:pos="1866" w:val="left"/>
        </w:tabs>
        <w:spacing w:after="120" w:before="0" w:line="100" w:lineRule="atLeast"/>
        <w:jc w:val="both"/>
      </w:pPr>
      <w:r>
        <w:rPr>
          <w:rFonts w:cs="Times New Roman"/>
          <w:sz w:val="24"/>
          <w:szCs w:val="24"/>
          <w:shd w:fill="FFFFFF" w:val="clear"/>
        </w:rPr>
        <w:t xml:space="preserve">ACHILLI, E.: </w:t>
      </w:r>
      <w:r>
        <w:rPr>
          <w:rFonts w:cs="Times New Roman"/>
          <w:i/>
          <w:sz w:val="24"/>
          <w:szCs w:val="24"/>
          <w:shd w:fill="FFFFFF" w:val="clear"/>
        </w:rPr>
        <w:t xml:space="preserve">Investigación y Participación. Las estrategias grupales, </w:t>
      </w:r>
      <w:r>
        <w:rPr>
          <w:rFonts w:cs="Times New Roman"/>
          <w:sz w:val="24"/>
          <w:szCs w:val="24"/>
          <w:shd w:fill="FFFFFF" w:val="clear"/>
        </w:rPr>
        <w:t>Rosario, Centro de Estudios Antropológicos en Contextos Urbanos (CEACU), Universidad Nacional de Rosario, 1997.</w:t>
      </w:r>
    </w:p>
    <w:p>
      <w:pPr>
        <w:pStyle w:val="style0"/>
        <w:spacing w:after="120" w:before="0" w:line="100" w:lineRule="atLeast"/>
        <w:jc w:val="both"/>
      </w:pPr>
      <w:r>
        <w:rPr>
          <w:rFonts w:cs="Times New Roman"/>
          <w:b/>
          <w:sz w:val="24"/>
          <w:szCs w:val="24"/>
          <w:shd w:fill="FFFFFF" w:val="clear"/>
        </w:rPr>
        <w:t>BIBLIOGRAFÍA RECOMENDADA</w:t>
      </w:r>
    </w:p>
    <w:p>
      <w:pPr>
        <w:pStyle w:val="style81"/>
        <w:numPr>
          <w:ilvl w:val="0"/>
          <w:numId w:val="8"/>
        </w:numPr>
        <w:spacing w:after="120" w:before="0" w:line="100" w:lineRule="atLeast"/>
        <w:jc w:val="both"/>
      </w:pPr>
      <w:r>
        <w:rPr>
          <w:sz w:val="24"/>
          <w:szCs w:val="24"/>
        </w:rPr>
        <w:t>Ferreira, Marcelo (2000)</w:t>
      </w:r>
      <w:r>
        <w:rPr>
          <w:i/>
          <w:sz w:val="24"/>
          <w:szCs w:val="24"/>
        </w:rPr>
        <w:t>. Los Derechos Humanos y nuestro lugar en el mundo</w:t>
      </w:r>
      <w:r>
        <w:rPr>
          <w:sz w:val="24"/>
          <w:szCs w:val="24"/>
        </w:rPr>
        <w:t>, en “Encrucijadas”, UBA.</w:t>
      </w:r>
    </w:p>
    <w:p>
      <w:pPr>
        <w:pStyle w:val="style81"/>
        <w:numPr>
          <w:ilvl w:val="0"/>
          <w:numId w:val="8"/>
        </w:numPr>
        <w:spacing w:after="120" w:before="0" w:line="100" w:lineRule="atLeast"/>
        <w:jc w:val="both"/>
      </w:pPr>
      <w:r>
        <w:rPr>
          <w:rFonts w:cs="Times New Roman"/>
          <w:sz w:val="24"/>
          <w:szCs w:val="24"/>
          <w:shd w:fill="FFFFFF" w:val="clear"/>
        </w:rPr>
        <w:t xml:space="preserve">FILIDORO, N.: </w:t>
      </w:r>
      <w:r>
        <w:rPr>
          <w:rFonts w:cs="Times New Roman"/>
          <w:i/>
          <w:sz w:val="24"/>
          <w:szCs w:val="24"/>
          <w:shd w:fill="FFFFFF" w:val="clear"/>
        </w:rPr>
        <w:t xml:space="preserve">Entrevista, </w:t>
      </w:r>
      <w:r>
        <w:rPr>
          <w:rFonts w:cs="Times New Roman"/>
          <w:sz w:val="24"/>
          <w:szCs w:val="24"/>
          <w:shd w:fill="FFFFFF" w:val="clear"/>
        </w:rPr>
        <w:t>realizada en noviembre de 2016.</w:t>
      </w:r>
    </w:p>
    <w:p>
      <w:pPr>
        <w:pStyle w:val="style81"/>
        <w:numPr>
          <w:ilvl w:val="0"/>
          <w:numId w:val="8"/>
        </w:numPr>
        <w:spacing w:after="120" w:before="0" w:line="100" w:lineRule="atLeast"/>
        <w:jc w:val="both"/>
      </w:pPr>
      <w:r>
        <w:rPr>
          <w:rFonts w:cs="Times New Roman"/>
          <w:sz w:val="24"/>
          <w:szCs w:val="24"/>
        </w:rPr>
        <w:t>Morin, Edgar. Sobre la interdisciplinariedad. Boletín No. 2 del Centre International de Recherches et Etudes Transdisciplinaires (CIRET), págs. 7-12; 1992.</w:t>
      </w:r>
    </w:p>
    <w:p>
      <w:pPr>
        <w:pStyle w:val="style81"/>
        <w:numPr>
          <w:ilvl w:val="0"/>
          <w:numId w:val="8"/>
        </w:numPr>
        <w:spacing w:after="120" w:before="0" w:line="100" w:lineRule="atLeast"/>
        <w:jc w:val="both"/>
      </w:pPr>
      <w:r>
        <w:rPr>
          <w:rFonts w:cs="Times New Roman"/>
          <w:sz w:val="24"/>
          <w:szCs w:val="24"/>
        </w:rPr>
        <w:t>Saraví Gonzalo (2006) Biografías de exclusión: desventajas y juventud en la Argentina. Perfiles Latinoamericanos, julio-diciembre, n° 28. FLACSO, DF, México, pp. 83-116</w:t>
      </w:r>
    </w:p>
    <w:p>
      <w:pPr>
        <w:pStyle w:val="style0"/>
        <w:widowControl w:val="false"/>
        <w:overflowPunct w:val="false"/>
        <w:spacing w:after="120" w:before="0" w:line="100" w:lineRule="atLeast"/>
      </w:pPr>
      <w:r>
        <w:rPr/>
      </w:r>
    </w:p>
    <w:p>
      <w:pPr>
        <w:pStyle w:val="style0"/>
        <w:widowControl w:val="false"/>
        <w:overflowPunct w:val="false"/>
        <w:spacing w:after="120" w:before="0" w:line="100" w:lineRule="atLeast"/>
      </w:pPr>
      <w:r>
        <w:rPr>
          <w:rFonts w:cs="Times New Roman"/>
          <w:b/>
          <w:sz w:val="24"/>
          <w:szCs w:val="24"/>
        </w:rPr>
        <w:t xml:space="preserve">UNIDAD 4. ADOLESCENTES, DERECHOS Y PROTAGONISMO SOCIAL Y CULTURAL. SUSTENTO TEÓRICO DEL PROYECTO CUENTA CUENTOS. </w:t>
      </w:r>
    </w:p>
    <w:p>
      <w:pPr>
        <w:pStyle w:val="style0"/>
        <w:widowControl w:val="false"/>
        <w:overflowPunct w:val="false"/>
        <w:spacing w:after="120" w:before="0" w:line="100" w:lineRule="atLeast"/>
      </w:pPr>
      <w:r>
        <w:rPr/>
      </w:r>
    </w:p>
    <w:p>
      <w:pPr>
        <w:pStyle w:val="style0"/>
        <w:widowControl w:val="false"/>
        <w:overflowPunct w:val="false"/>
        <w:spacing w:after="120" w:before="0" w:line="100" w:lineRule="atLeast"/>
      </w:pPr>
      <w:r>
        <w:rPr>
          <w:rFonts w:cs="Times New Roman"/>
          <w:sz w:val="24"/>
          <w:szCs w:val="24"/>
          <w:shd w:fill="FFFFFF" w:val="clear"/>
        </w:rPr>
        <w:t xml:space="preserve">A) Derechos humanos de niños, niñas y adolescentes. </w:t>
      </w:r>
      <w:r>
        <w:rPr>
          <w:sz w:val="24"/>
          <w:szCs w:val="24"/>
        </w:rPr>
        <w:t>Dimensión histórica y política de los derechos y el protagonismo de los niños, niñas y adolescentes.</w:t>
      </w:r>
      <w:r>
        <w:rPr>
          <w:rFonts w:cs="Times New Roman"/>
          <w:sz w:val="24"/>
          <w:szCs w:val="24"/>
          <w:shd w:fill="FFFFFF" w:val="clear"/>
        </w:rPr>
        <w:t xml:space="preserve"> Representaciones sociales de los jóvenes en general y de los jóvenes de los sectores populares en particular.</w:t>
      </w:r>
      <w:r>
        <w:rPr>
          <w:sz w:val="24"/>
          <w:szCs w:val="24"/>
        </w:rPr>
        <w:t xml:space="preserve"> </w:t>
      </w:r>
      <w:r>
        <w:rPr>
          <w:rFonts w:cs="Times New Roman"/>
          <w:sz w:val="24"/>
          <w:szCs w:val="24"/>
          <w:shd w:fill="FFFFFF" w:val="clear"/>
        </w:rPr>
        <w:t xml:space="preserve">El derecho a la participación. El paradigma del Protagonismo Social. </w:t>
      </w:r>
    </w:p>
    <w:p>
      <w:pPr>
        <w:pStyle w:val="style84"/>
        <w:widowControl w:val="false"/>
        <w:spacing w:after="120" w:before="0" w:line="100" w:lineRule="atLeast"/>
        <w:jc w:val="both"/>
      </w:pPr>
      <w:r>
        <w:rPr>
          <w:sz w:val="24"/>
          <w:szCs w:val="24"/>
        </w:rPr>
        <w:t xml:space="preserve">B) Los jóvenes y los grupos. Lo grupal como estrategia de fortalecimiento de lo colectivo, armado de tramas vinculares en su interior y en los espacios sociales en general. Los grupos y la comunidad en la producción de subjetividad.  Recuperación de las marcas identitarias subjetivas, históricas y sociales como alternativa a la desubjetivación que propone el consumo y el mercado. </w:t>
      </w:r>
      <w:r>
        <w:rPr>
          <w:sz w:val="24"/>
          <w:szCs w:val="24"/>
          <w:shd w:fill="FFFFFF" w:val="clear"/>
        </w:rPr>
        <w:t>Promoción del joven como actor cultural, social y político.</w:t>
      </w:r>
      <w:r>
        <w:rPr>
          <w:sz w:val="24"/>
          <w:szCs w:val="24"/>
        </w:rPr>
        <w:t xml:space="preserve"> Herramientas para propiciar el interés de los jóvenes por los niños y otros actores de su entorno social. </w:t>
      </w:r>
    </w:p>
    <w:p>
      <w:pPr>
        <w:pStyle w:val="style84"/>
        <w:widowControl w:val="false"/>
        <w:spacing w:after="120" w:before="0" w:line="100" w:lineRule="atLeast"/>
        <w:jc w:val="both"/>
      </w:pPr>
      <w:r>
        <w:rPr>
          <w:sz w:val="24"/>
          <w:szCs w:val="24"/>
        </w:rPr>
        <w:t>C) Temas vinculados a la práctica: La literatura, la lectura y los jóvenes de los sectores populares. La literatura infantil,  tensión entre arte y pedagogía. La lectura de cuentos en el desarrollo infantil. La mediación de lectura y la narración oral. El cuento, la poesía y los distintos formatos. La lectura propia, a terceros y en formato de audio.</w:t>
      </w:r>
    </w:p>
    <w:p>
      <w:pPr>
        <w:pStyle w:val="style0"/>
        <w:spacing w:after="120" w:before="0" w:line="100" w:lineRule="atLeast"/>
        <w:jc w:val="both"/>
      </w:pPr>
      <w:r>
        <w:rPr>
          <w:rFonts w:cs="Times New Roman"/>
          <w:b/>
          <w:sz w:val="24"/>
          <w:szCs w:val="24"/>
          <w:shd w:fill="FFFFFF" w:val="clear"/>
        </w:rPr>
        <w:t>BIBLIOGRAFÍA OBLIGATORIA</w:t>
      </w:r>
    </w:p>
    <w:p>
      <w:pPr>
        <w:pStyle w:val="style81"/>
        <w:numPr>
          <w:ilvl w:val="0"/>
          <w:numId w:val="5"/>
        </w:numPr>
        <w:spacing w:after="120" w:before="0" w:line="100" w:lineRule="atLeast"/>
        <w:jc w:val="both"/>
      </w:pPr>
      <w:r>
        <w:rPr>
          <w:rFonts w:cs="Times New Roman"/>
          <w:sz w:val="24"/>
          <w:szCs w:val="24"/>
        </w:rPr>
        <w:t>Austin, John. Como hacer cosas con palabras. España: Paidos; 1982.</w:t>
      </w:r>
    </w:p>
    <w:p>
      <w:pPr>
        <w:pStyle w:val="style81"/>
        <w:numPr>
          <w:ilvl w:val="0"/>
          <w:numId w:val="5"/>
        </w:numPr>
        <w:spacing w:after="120" w:before="0" w:line="100" w:lineRule="atLeast"/>
        <w:jc w:val="both"/>
      </w:pPr>
      <w:r>
        <w:rPr>
          <w:rFonts w:cs="Times New Roman"/>
          <w:sz w:val="24"/>
          <w:szCs w:val="24"/>
        </w:rPr>
        <w:t>Bodoc, Liliana. Conferencia de apertura de las XVII jornadas "La literatura y la escuela" de Jitanjafora ONG. Mar del Plata, abril 2017.</w:t>
      </w:r>
    </w:p>
    <w:p>
      <w:pPr>
        <w:pStyle w:val="style81"/>
        <w:widowControl w:val="false"/>
        <w:numPr>
          <w:ilvl w:val="0"/>
          <w:numId w:val="5"/>
        </w:numPr>
        <w:overflowPunct w:val="false"/>
        <w:spacing w:after="120" w:before="0" w:line="100" w:lineRule="atLeast"/>
      </w:pPr>
      <w:r>
        <w:rPr>
          <w:sz w:val="24"/>
          <w:szCs w:val="24"/>
          <w:lang w:eastAsia="es-ES"/>
        </w:rPr>
        <w:t xml:space="preserve">Liebel, Manfred (2007) Paternalismo, participación y protagonismo infantil. En </w:t>
      </w:r>
      <w:r>
        <w:rPr>
          <w:i/>
          <w:iCs/>
          <w:sz w:val="24"/>
          <w:szCs w:val="24"/>
          <w:lang w:eastAsia="es-ES"/>
        </w:rPr>
        <w:t xml:space="preserve">Participación Infantil y Juvenil en América Latina </w:t>
      </w:r>
      <w:r>
        <w:rPr>
          <w:sz w:val="24"/>
          <w:szCs w:val="24"/>
          <w:lang w:eastAsia="es-ES"/>
        </w:rPr>
        <w:t>(1era ed.) (pp. 113-146). Universidad Autónoma Metropolitana, México</w:t>
      </w:r>
    </w:p>
    <w:p>
      <w:pPr>
        <w:pStyle w:val="style81"/>
        <w:numPr>
          <w:ilvl w:val="0"/>
          <w:numId w:val="7"/>
        </w:numPr>
        <w:tabs>
          <w:tab w:leader="none" w:pos="1440" w:val="left"/>
          <w:tab w:leader="none" w:pos="1724" w:val="left"/>
          <w:tab w:leader="none" w:pos="1866" w:val="left"/>
        </w:tabs>
        <w:spacing w:after="120" w:before="0" w:line="100" w:lineRule="atLeast"/>
        <w:jc w:val="both"/>
      </w:pPr>
      <w:r>
        <w:rPr>
          <w:rStyle w:val="style49"/>
          <w:sz w:val="24"/>
          <w:szCs w:val="24"/>
        </w:rPr>
        <w:t xml:space="preserve">Magistris, Gabriela, Muñeza, Soledad, Viñas, Silvia (2014) </w:t>
      </w:r>
      <w:r>
        <w:rPr>
          <w:bCs/>
          <w:sz w:val="24"/>
          <w:szCs w:val="24"/>
        </w:rPr>
        <w:t xml:space="preserve">“Los adolescentes cuentan cuentos a los niños. Una experiencia de Promoción Sociocultural de Jóvenes”. En </w:t>
      </w:r>
      <w:r>
        <w:rPr>
          <w:rStyle w:val="style49"/>
          <w:sz w:val="24"/>
          <w:szCs w:val="24"/>
        </w:rPr>
        <w:t>Frisch,</w:t>
      </w:r>
      <w:r>
        <w:rPr>
          <w:bCs/>
          <w:sz w:val="24"/>
          <w:szCs w:val="24"/>
        </w:rPr>
        <w:t xml:space="preserve"> Pablo y Stoppani, Natalia (comp.), </w:t>
      </w:r>
      <w:r>
        <w:rPr>
          <w:bCs/>
          <w:i/>
          <w:sz w:val="24"/>
          <w:szCs w:val="24"/>
        </w:rPr>
        <w:t>Hacia una pedagogía emancipatoria en Nuestra América. Miradas, experiencias y luchas</w:t>
      </w:r>
      <w:r>
        <w:rPr>
          <w:bCs/>
          <w:sz w:val="24"/>
          <w:szCs w:val="24"/>
        </w:rPr>
        <w:t>, Buenos Aires: Ediciones del CCC, Centro Cultural de la Cooperación.</w:t>
      </w:r>
    </w:p>
    <w:p>
      <w:pPr>
        <w:pStyle w:val="style81"/>
        <w:numPr>
          <w:ilvl w:val="0"/>
          <w:numId w:val="7"/>
        </w:numPr>
        <w:tabs>
          <w:tab w:leader="none" w:pos="1440" w:val="left"/>
          <w:tab w:leader="none" w:pos="1724" w:val="left"/>
          <w:tab w:leader="none" w:pos="1866" w:val="left"/>
        </w:tabs>
        <w:spacing w:after="120" w:before="0" w:line="100" w:lineRule="atLeast"/>
        <w:jc w:val="both"/>
      </w:pPr>
      <w:r>
        <w:rPr>
          <w:rStyle w:val="style49"/>
          <w:sz w:val="24"/>
          <w:szCs w:val="24"/>
        </w:rPr>
        <w:t xml:space="preserve">Magistris, Gabriela, Muñeza, Soledad, Viñas, Silvia (2014) “El protagonismo de los jóvenes como promotores de derechos socioculturales”. En Daleo, Graciela (comp.), </w:t>
      </w:r>
      <w:r>
        <w:rPr>
          <w:rStyle w:val="style49"/>
          <w:i/>
          <w:sz w:val="24"/>
          <w:szCs w:val="24"/>
        </w:rPr>
        <w:t>Universidad: extensión de territorios. Veinte años de la Cátedra Libre de Derechos Humanos,</w:t>
      </w:r>
      <w:r>
        <w:rPr>
          <w:rStyle w:val="style49"/>
          <w:sz w:val="24"/>
          <w:szCs w:val="24"/>
        </w:rPr>
        <w:t xml:space="preserve"> Editorial de la Facultad de Filosofía y Letras de la UBA, Buenos Aires.</w:t>
      </w:r>
      <w:r>
        <w:rPr>
          <w:sz w:val="24"/>
          <w:szCs w:val="24"/>
        </w:rPr>
        <w:t xml:space="preserve"> </w:t>
      </w:r>
    </w:p>
    <w:p>
      <w:pPr>
        <w:pStyle w:val="style81"/>
        <w:numPr>
          <w:ilvl w:val="0"/>
          <w:numId w:val="7"/>
        </w:numPr>
        <w:spacing w:after="120" w:before="0" w:line="100" w:lineRule="atLeast"/>
        <w:jc w:val="both"/>
      </w:pPr>
      <w:r>
        <w:rPr>
          <w:rFonts w:cs="Times New Roman"/>
          <w:sz w:val="24"/>
          <w:szCs w:val="24"/>
        </w:rPr>
        <w:t>Petit, Michele. Nuevos acercamientos a los jóvenes y la lectura. México: Fondo de Cultura Económica; 1999.</w:t>
      </w:r>
    </w:p>
    <w:p>
      <w:pPr>
        <w:pStyle w:val="style81"/>
        <w:numPr>
          <w:ilvl w:val="0"/>
          <w:numId w:val="7"/>
        </w:numPr>
        <w:spacing w:after="120" w:before="0" w:line="100" w:lineRule="atLeast"/>
        <w:jc w:val="both"/>
      </w:pPr>
      <w:r>
        <w:rPr>
          <w:rFonts w:cs="Times New Roman"/>
          <w:sz w:val="24"/>
          <w:szCs w:val="24"/>
        </w:rPr>
        <w:t>Salvia, A y otros (2007). Los jóvenes pobres como objeto de políticas públicas ¿una oportunidad para la inclusión social o un derrotero de manipulación y frustraciones? Tercer congreso nacional de políticas sociales. Ciudad Autónoma de Buenos Aires, 18 y el 20 de octubre de 2007</w:t>
      </w:r>
    </w:p>
    <w:p>
      <w:pPr>
        <w:pStyle w:val="style0"/>
        <w:spacing w:after="120" w:before="0" w:line="100" w:lineRule="atLeast"/>
        <w:jc w:val="both"/>
      </w:pPr>
      <w:r>
        <w:rPr>
          <w:rFonts w:cs="Times New Roman"/>
          <w:b/>
          <w:sz w:val="24"/>
          <w:szCs w:val="24"/>
          <w:shd w:fill="FFFFFF" w:val="clear"/>
        </w:rPr>
        <w:t>BIBLIOGRAFÍA RECOMENDADA</w:t>
      </w:r>
    </w:p>
    <w:p>
      <w:pPr>
        <w:pStyle w:val="style81"/>
        <w:numPr>
          <w:ilvl w:val="0"/>
          <w:numId w:val="8"/>
        </w:numPr>
        <w:spacing w:after="120" w:before="0" w:line="100" w:lineRule="atLeast"/>
        <w:jc w:val="both"/>
      </w:pPr>
      <w:r>
        <w:rPr>
          <w:rFonts w:cs="Times New Roman"/>
          <w:sz w:val="24"/>
          <w:szCs w:val="24"/>
        </w:rPr>
        <w:t>Bodoc, Liliana. Conferencia en youtube: I congreso de literatura infantil y juvenil. Organizada por Loqueleo Santillana; 2014</w:t>
      </w:r>
    </w:p>
    <w:p>
      <w:pPr>
        <w:pStyle w:val="style81"/>
        <w:numPr>
          <w:ilvl w:val="0"/>
          <w:numId w:val="8"/>
        </w:numPr>
        <w:spacing w:after="120" w:before="0" w:line="100" w:lineRule="atLeast"/>
        <w:ind w:hanging="357" w:left="714" w:right="0"/>
        <w:jc w:val="both"/>
      </w:pPr>
      <w:r>
        <w:rPr>
          <w:sz w:val="24"/>
          <w:szCs w:val="24"/>
        </w:rPr>
        <w:t xml:space="preserve">Chaves, Mariana (2005) </w:t>
      </w:r>
      <w:r>
        <w:rPr>
          <w:i/>
          <w:sz w:val="24"/>
          <w:szCs w:val="24"/>
        </w:rPr>
        <w:t>Juventud negada y negativizada: Representaciones y formaciones discursivas vigentes en la Argentina contemporánea</w:t>
      </w:r>
      <w:r>
        <w:rPr>
          <w:sz w:val="24"/>
          <w:szCs w:val="24"/>
        </w:rPr>
        <w:t xml:space="preserve">. Última Década Nº 23, CIDPA, Valparaíso. </w:t>
      </w:r>
    </w:p>
    <w:p>
      <w:pPr>
        <w:pStyle w:val="style81"/>
        <w:numPr>
          <w:ilvl w:val="0"/>
          <w:numId w:val="8"/>
        </w:numPr>
        <w:spacing w:after="120" w:before="0" w:line="100" w:lineRule="atLeast"/>
        <w:jc w:val="both"/>
      </w:pPr>
      <w:r>
        <w:rPr>
          <w:rFonts w:cs="Times New Roman"/>
          <w:sz w:val="24"/>
          <w:szCs w:val="24"/>
        </w:rPr>
        <w:t>Cussianovich, Alejandro. Participación ciudadana de la infancia desde el paradigma de protagonismo. Revista NATS vol VII nro. 13-14; pps 183-209; 2001.</w:t>
      </w:r>
    </w:p>
    <w:p>
      <w:pPr>
        <w:pStyle w:val="style0"/>
        <w:spacing w:after="120" w:before="0" w:line="100" w:lineRule="atLeast"/>
        <w:jc w:val="both"/>
      </w:pPr>
      <w:r>
        <w:rPr/>
      </w:r>
    </w:p>
    <w:p>
      <w:pPr>
        <w:pStyle w:val="style0"/>
        <w:shd w:fill="D9D9D9" w:val="clear"/>
        <w:spacing w:after="120" w:before="0" w:line="100" w:lineRule="atLeast"/>
        <w:jc w:val="both"/>
      </w:pPr>
      <w:r>
        <w:rPr>
          <w:rFonts w:cs="Times New Roman"/>
          <w:b/>
          <w:color w:val="00000A"/>
          <w:sz w:val="24"/>
          <w:szCs w:val="24"/>
        </w:rPr>
        <w:t>e) DESCRIPCIÓN DE LAS ACTIVIDADES Y TAREAS</w:t>
      </w:r>
    </w:p>
    <w:p>
      <w:pPr>
        <w:pStyle w:val="style0"/>
        <w:numPr>
          <w:ilvl w:val="0"/>
          <w:numId w:val="10"/>
        </w:numPr>
        <w:spacing w:after="120" w:before="0" w:line="100" w:lineRule="atLeast"/>
        <w:jc w:val="both"/>
      </w:pPr>
      <w:r>
        <w:rPr>
          <w:rFonts w:cs="Times New Roman"/>
          <w:sz w:val="24"/>
          <w:szCs w:val="24"/>
        </w:rPr>
        <w:t xml:space="preserve">Clases presenciales en la Sede de Puan, con exposición de la docente a cargo, del equipo docente, de los estudiantes y de docentes invitados </w:t>
      </w:r>
    </w:p>
    <w:p>
      <w:pPr>
        <w:pStyle w:val="style0"/>
        <w:numPr>
          <w:ilvl w:val="0"/>
          <w:numId w:val="10"/>
        </w:numPr>
        <w:spacing w:after="120" w:before="0" w:line="100" w:lineRule="atLeast"/>
        <w:jc w:val="both"/>
      </w:pPr>
      <w:r>
        <w:rPr>
          <w:rFonts w:cs="Times New Roman"/>
          <w:sz w:val="24"/>
          <w:szCs w:val="24"/>
        </w:rPr>
        <w:t xml:space="preserve">Talleres de capacitación en Recursos Técnicos, lúdicos y creativos en la sede del CIDAC. </w:t>
      </w:r>
    </w:p>
    <w:p>
      <w:pPr>
        <w:pStyle w:val="style0"/>
        <w:numPr>
          <w:ilvl w:val="0"/>
          <w:numId w:val="10"/>
        </w:numPr>
        <w:spacing w:after="120" w:before="0" w:line="100" w:lineRule="atLeast"/>
        <w:jc w:val="both"/>
      </w:pPr>
      <w:r>
        <w:rPr>
          <w:rFonts w:cs="Times New Roman"/>
          <w:sz w:val="24"/>
          <w:szCs w:val="24"/>
        </w:rPr>
        <w:t xml:space="preserve">Talleres de capacitación en mediación de lectura, literatura infantil y herramientas para  coordinar los talleres Cuenta Cuentos dirigidos a los estudiantes </w:t>
      </w:r>
    </w:p>
    <w:p>
      <w:pPr>
        <w:pStyle w:val="style0"/>
        <w:numPr>
          <w:ilvl w:val="0"/>
          <w:numId w:val="10"/>
        </w:numPr>
        <w:spacing w:after="120" w:before="0" w:line="100" w:lineRule="atLeast"/>
        <w:jc w:val="both"/>
      </w:pPr>
      <w:r>
        <w:rPr>
          <w:rFonts w:cs="Times New Roman"/>
          <w:sz w:val="24"/>
          <w:szCs w:val="24"/>
        </w:rPr>
        <w:t xml:space="preserve">Co-coordinación de los talleres Cuenta Cuentos en la Escuela Media Nº6, D.E.5. Se brindará la opción de que participe en otros talleres de capacitación, como el de fotografía o el de expresión visual urbana. </w:t>
      </w:r>
    </w:p>
    <w:p>
      <w:pPr>
        <w:pStyle w:val="style0"/>
        <w:numPr>
          <w:ilvl w:val="0"/>
          <w:numId w:val="10"/>
        </w:numPr>
        <w:spacing w:after="120" w:before="0" w:line="100" w:lineRule="atLeast"/>
        <w:jc w:val="both"/>
      </w:pPr>
      <w:r>
        <w:rPr>
          <w:rFonts w:cs="Times New Roman"/>
          <w:sz w:val="24"/>
          <w:szCs w:val="24"/>
        </w:rPr>
        <w:t>Acompañamiento activo en eventos de lectura a realizar en escuela y/o jardín de infantes. O entrenamiento y acompañamiento en la producción de Cd de cuentos.</w:t>
      </w:r>
    </w:p>
    <w:p>
      <w:pPr>
        <w:pStyle w:val="style0"/>
        <w:spacing w:after="120" w:before="0" w:line="100" w:lineRule="atLeast"/>
        <w:jc w:val="both"/>
      </w:pPr>
      <w:r>
        <w:rPr/>
      </w:r>
    </w:p>
    <w:p>
      <w:pPr>
        <w:pStyle w:val="style0"/>
        <w:numPr>
          <w:ilvl w:val="0"/>
          <w:numId w:val="10"/>
        </w:numPr>
        <w:spacing w:after="120" w:before="0" w:line="100" w:lineRule="atLeast"/>
        <w:jc w:val="both"/>
      </w:pPr>
      <w:r>
        <w:rPr>
          <w:rFonts w:cs="Times New Roman"/>
          <w:sz w:val="24"/>
          <w:szCs w:val="24"/>
        </w:rPr>
        <w:t xml:space="preserve">Encuentros de reflexión teórica sobre las prácticas, istematización individual y colectiva.  </w:t>
      </w:r>
    </w:p>
    <w:p>
      <w:pPr>
        <w:pStyle w:val="style0"/>
        <w:spacing w:after="120" w:before="0" w:line="100" w:lineRule="atLeast"/>
        <w:jc w:val="both"/>
      </w:pPr>
      <w:r>
        <w:rPr/>
      </w:r>
    </w:p>
    <w:p>
      <w:pPr>
        <w:pStyle w:val="style0"/>
        <w:shd w:fill="D9D9D9" w:val="clear"/>
        <w:spacing w:after="120" w:before="0" w:line="100" w:lineRule="atLeast"/>
        <w:jc w:val="both"/>
      </w:pPr>
      <w:r>
        <w:rPr>
          <w:rFonts w:cs="Times New Roman"/>
          <w:b/>
          <w:sz w:val="24"/>
          <w:szCs w:val="24"/>
        </w:rPr>
        <w:t xml:space="preserve">f) </w:t>
      </w:r>
      <w:r>
        <w:rPr>
          <w:rFonts w:cs="Times New Roman"/>
          <w:b/>
          <w:color w:val="00000A"/>
          <w:sz w:val="24"/>
          <w:szCs w:val="24"/>
        </w:rPr>
        <w:t xml:space="preserve">CRITERIOS DE EVALUACIÓN Y FORMAS DE EVALUACIÓN </w:t>
      </w:r>
    </w:p>
    <w:p>
      <w:pPr>
        <w:pStyle w:val="style0"/>
        <w:spacing w:after="120" w:before="0" w:line="100" w:lineRule="atLeast"/>
        <w:jc w:val="both"/>
      </w:pPr>
      <w:r>
        <w:rPr>
          <w:rFonts w:cs="Times New Roman"/>
          <w:sz w:val="24"/>
          <w:szCs w:val="24"/>
        </w:rPr>
        <w:t xml:space="preserve">Para la aprobación del seminario resulta necesario la asistencia a un 80% de las clases que se realizarán en la Facultad de Filosofía y Letras y en el Centro de Innovación y Desarrollo para la Acción Comunitaria. Participar en tres talleres de capacitación a los adolescentes y encuentros de análisis de las prácticas. </w:t>
      </w:r>
    </w:p>
    <w:p>
      <w:pPr>
        <w:pStyle w:val="style0"/>
        <w:spacing w:after="120" w:before="0" w:line="100" w:lineRule="atLeast"/>
        <w:jc w:val="both"/>
      </w:pPr>
      <w:r>
        <w:rPr>
          <w:rFonts w:cs="Times New Roman"/>
          <w:sz w:val="24"/>
          <w:szCs w:val="24"/>
        </w:rPr>
        <w:t>La evaluación constará de un trabajo monográfico que dé cuenta de la sistematización y reflexión de la práctica abordada o de un proyecto de intervención con jóvenes. La nota promedio deberá ser no inferior a 4 (cuatro)</w:t>
      </w:r>
    </w:p>
    <w:p>
      <w:pPr>
        <w:pStyle w:val="style0"/>
        <w:spacing w:after="120" w:before="0" w:line="100" w:lineRule="atLeast"/>
        <w:jc w:val="both"/>
      </w:pPr>
      <w:r>
        <w:rPr/>
      </w:r>
    </w:p>
    <w:p>
      <w:pPr>
        <w:pStyle w:val="style0"/>
        <w:shd w:fill="D9D9D9" w:val="clear"/>
        <w:spacing w:after="120" w:before="0" w:line="100" w:lineRule="atLeast"/>
        <w:jc w:val="both"/>
      </w:pPr>
      <w:r>
        <w:rPr>
          <w:rFonts w:cs="Times New Roman"/>
          <w:b/>
          <w:color w:val="00000A"/>
          <w:sz w:val="24"/>
          <w:szCs w:val="24"/>
        </w:rPr>
        <w:t>h) DURACIÓN TOTAL Y CANTIDAD DE HORAS TEÓRICAS Y PRÁCTICAS</w:t>
      </w:r>
    </w:p>
    <w:p>
      <w:pPr>
        <w:pStyle w:val="style0"/>
        <w:spacing w:after="120" w:before="0" w:line="100" w:lineRule="atLeast"/>
        <w:jc w:val="both"/>
      </w:pPr>
      <w:r>
        <w:rPr>
          <w:rFonts w:cs="Times New Roman"/>
          <w:i/>
          <w:color w:val="00000A"/>
          <w:sz w:val="24"/>
          <w:szCs w:val="24"/>
        </w:rPr>
        <w:t>(64 hs. totales, de las cuales no más de 30 hs. serán de prácticas)</w:t>
      </w:r>
    </w:p>
    <w:p>
      <w:pPr>
        <w:pStyle w:val="style0"/>
        <w:spacing w:after="120" w:before="0" w:line="100" w:lineRule="atLeast"/>
        <w:jc w:val="both"/>
      </w:pPr>
      <w:r>
        <w:rPr/>
      </w:r>
    </w:p>
    <w:p>
      <w:pPr>
        <w:pStyle w:val="style0"/>
        <w:spacing w:after="120" w:before="0" w:line="100" w:lineRule="atLeast"/>
        <w:jc w:val="both"/>
      </w:pPr>
      <w:r>
        <w:rPr/>
      </w:r>
    </w:p>
    <w:p>
      <w:pPr>
        <w:pStyle w:val="style0"/>
        <w:spacing w:after="120" w:before="0" w:line="100" w:lineRule="atLeast"/>
        <w:jc w:val="both"/>
      </w:pPr>
      <w:r>
        <w:rPr>
          <w:rFonts w:cs="Times New Roman"/>
          <w:b/>
          <w:color w:val="00000A"/>
          <w:sz w:val="24"/>
          <w:szCs w:val="24"/>
          <w:shd w:fill="D9D9D9" w:val="clear"/>
        </w:rPr>
        <w:t>i) NÓMINA DE LA/S ENTIDADES/INSTITUCIONES/ORGANIZACIONES INTERVINIENTES</w:t>
      </w:r>
      <w:r>
        <w:rPr>
          <w:rFonts w:cs="Times New Roman"/>
          <w:color w:val="00000A"/>
          <w:sz w:val="24"/>
          <w:szCs w:val="24"/>
          <w:shd w:fill="D9D9D9" w:val="clear"/>
        </w:rPr>
        <w:br/>
      </w:r>
      <w:r>
        <w:rPr>
          <w:rFonts w:cs="Times New Roman"/>
          <w:color w:val="00000A"/>
          <w:sz w:val="24"/>
          <w:szCs w:val="24"/>
        </w:rPr>
        <w:t>Centro de Innovación y Desarrollo para la Acción Comunitaria. Facultad de Filosofía y Letras – UBA</w:t>
      </w:r>
    </w:p>
    <w:p>
      <w:pPr>
        <w:pStyle w:val="style0"/>
        <w:spacing w:after="120" w:before="0" w:line="100" w:lineRule="atLeast"/>
        <w:jc w:val="both"/>
      </w:pPr>
      <w:r>
        <w:rPr>
          <w:rFonts w:cs="Times New Roman"/>
          <w:color w:val="00000A"/>
          <w:sz w:val="24"/>
          <w:szCs w:val="24"/>
        </w:rPr>
        <w:t>Escuela Media Nº6, D.E.5.</w:t>
      </w:r>
    </w:p>
    <w:p>
      <w:pPr>
        <w:pStyle w:val="style0"/>
        <w:spacing w:after="120" w:before="0" w:line="100" w:lineRule="atLeast"/>
        <w:jc w:val="both"/>
      </w:pPr>
      <w:r>
        <w:rPr>
          <w:rFonts w:cs="Times New Roman"/>
          <w:color w:val="00000A"/>
          <w:sz w:val="24"/>
          <w:szCs w:val="24"/>
        </w:rPr>
        <w:t>Centro Cultural La Andariega</w:t>
      </w:r>
    </w:p>
    <w:p>
      <w:pPr>
        <w:pStyle w:val="style0"/>
        <w:spacing w:after="120" w:before="0" w:line="100" w:lineRule="atLeast"/>
        <w:jc w:val="both"/>
      </w:pPr>
      <w:r>
        <w:rPr>
          <w:rFonts w:cs="Times New Roman"/>
          <w:color w:val="00000A"/>
          <w:sz w:val="24"/>
          <w:szCs w:val="24"/>
        </w:rPr>
        <w:t xml:space="preserve">FM Che Barracas. </w:t>
      </w:r>
    </w:p>
    <w:p>
      <w:pPr>
        <w:pStyle w:val="style0"/>
        <w:spacing w:after="120" w:before="0" w:line="100" w:lineRule="atLeast"/>
        <w:jc w:val="both"/>
      </w:pPr>
      <w:r>
        <w:rPr/>
      </w:r>
    </w:p>
    <w:p>
      <w:pPr>
        <w:pStyle w:val="style0"/>
        <w:shd w:fill="D9D9D9" w:val="clear"/>
        <w:spacing w:after="120" w:before="0" w:line="100" w:lineRule="atLeast"/>
        <w:jc w:val="both"/>
      </w:pPr>
      <w:r>
        <w:rPr>
          <w:rFonts w:cs="Times New Roman"/>
          <w:b/>
          <w:color w:val="00000A"/>
          <w:sz w:val="24"/>
          <w:szCs w:val="24"/>
        </w:rPr>
        <w:t>j) ARTICULACIÓN CON OTROS ESPACIOS: OTROS SEMINARIOS DE PRÁCTICAS SOCIOEDUCATIVAS TERRITORIALIZADAS, PROYECTOS DE EXTENSIÓN (UBANEX, VOLUNTARIADO, ETC.), PROYECTOS DE INVESTIGACIÓN, CONVENIOS CON ORGANISMOS NACIONALES, PROVINCIALES Y MUNICIPALES, ETC.</w:t>
      </w:r>
    </w:p>
    <w:p>
      <w:pPr>
        <w:pStyle w:val="style0"/>
        <w:spacing w:after="120" w:before="0" w:line="100" w:lineRule="atLeast"/>
        <w:jc w:val="both"/>
      </w:pPr>
      <w:bookmarkStart w:id="1" w:name="_GoBack"/>
      <w:bookmarkEnd w:id="1"/>
      <w:r>
        <w:rPr>
          <w:sz w:val="24"/>
          <w:szCs w:val="24"/>
        </w:rPr>
        <w:t xml:space="preserve">El trabajo que desarrollamos en la EEM Nº6 D.E.5 y en otras organizaciones de la Villa 21-24 está articulado a redes del territorio. Fue y es nuestra posición la de participar activamente ante diversas situaciones vinculadas al territorio y a los jóvenes, como armado de red y encuentros por la violencia institucional u otras problemáticas específicas. Se realizará una nueva presentación de Voluntariado. </w:t>
      </w:r>
    </w:p>
    <w:p>
      <w:pPr>
        <w:pStyle w:val="style0"/>
        <w:spacing w:after="120" w:before="0" w:line="100" w:lineRule="atLeast"/>
        <w:jc w:val="both"/>
      </w:pPr>
      <w:r>
        <w:rPr>
          <w:rFonts w:cs="Times New Roman"/>
          <w:sz w:val="24"/>
          <w:szCs w:val="24"/>
        </w:rPr>
        <w:t xml:space="preserve">La articulación con los distintos equipos del CIDAC es también una modalidad de trabajo que sostenemos desde el comienzo. </w:t>
      </w:r>
    </w:p>
    <w:sectPr>
      <w:headerReference r:id="rId7" w:type="default"/>
      <w:footnotePr>
        <w:numFmt w:val="decimal"/>
      </w:footnotePr>
      <w:type w:val="nextPage"/>
      <w:pgSz w:h="16838" w:w="11906"/>
      <w:pgMar w:bottom="1417" w:footer="0" w:gutter="0" w:header="0" w:left="1701" w:right="1701" w:top="1417"/>
      <w:pgNumType w:fmt="decimal"/>
      <w:formProt w:val="false"/>
      <w:textDirection w:val="lrTb"/>
      <w:docGrid w:charSpace="5734" w:linePitch="248"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swiss"/>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79"/>
        <w:spacing w:after="120" w:before="0" w:line="100" w:lineRule="atLeast"/>
      </w:pPr>
      <w:r>
        <w:rPr>
          <w:rStyle w:val="style47"/>
          <w:rFonts w:ascii="Arial" w:cs="Arial" w:hAnsi="Arial"/>
          <w:sz w:val="20"/>
          <w:szCs w:val="18"/>
        </w:rPr>
        <w:footnoteRef/>
        <w:tab/>
      </w:r>
      <w:r>
        <w:rPr>
          <w:rStyle w:val="style47"/>
          <w:rFonts w:ascii="Arial" w:cs="Arial" w:hAnsi="Arial"/>
          <w:sz w:val="20"/>
          <w:szCs w:val="18"/>
        </w:rPr>
        <w:tab/>
      </w:r>
      <w:r>
        <w:rPr>
          <w:rFonts w:ascii="Arial" w:cs="Arial" w:hAnsi="Arial"/>
          <w:sz w:val="20"/>
          <w:szCs w:val="18"/>
        </w:rPr>
        <w:t xml:space="preserve"> </w:t>
      </w:r>
      <w:r>
        <w:rPr>
          <w:rFonts w:ascii="Arial" w:cs="Arial" w:hAnsi="Arial"/>
          <w:color w:val="00000A"/>
          <w:sz w:val="20"/>
          <w:szCs w:val="18"/>
        </w:rPr>
        <w:t xml:space="preserve"> Proyecto aprobado por el 3er llamado a Convocatoria de Proyectos de Extensión Universitaria UBANEX B</w:t>
      </w:r>
      <w:r>
        <w:rPr>
          <w:rFonts w:ascii="Arial" w:cs="Arial" w:hAnsi="Arial"/>
          <w:smallCaps/>
          <w:color w:val="00000A"/>
          <w:sz w:val="20"/>
          <w:szCs w:val="18"/>
        </w:rPr>
        <w:t xml:space="preserve">ICENTENARIO </w:t>
      </w:r>
      <w:r>
        <w:rPr>
          <w:rFonts w:ascii="Arial" w:cs="Arial" w:hAnsi="Arial"/>
          <w:color w:val="00000A"/>
          <w:sz w:val="20"/>
          <w:szCs w:val="18"/>
        </w:rPr>
        <w:t>2010- Resolución2450/11- Director: Marcelo Ferreira – Coordinadora: Silvia Viñas – Co-coordinadoras: Gabriela Magistris – María Soledad Muñeza</w:t>
      </w:r>
    </w:p>
  </w:footnote>
  <w:footnote w:id="3">
    <w:p>
      <w:pPr>
        <w:pStyle w:val="style84"/>
        <w:tabs>
          <w:tab w:leader="none" w:pos="0" w:val="left"/>
          <w:tab w:leader="none" w:pos="720" w:val="left"/>
        </w:tabs>
        <w:spacing w:after="120" w:before="0" w:line="100" w:lineRule="atLeast"/>
        <w:jc w:val="both"/>
      </w:pPr>
      <w:r>
        <w:rPr>
          <w:rFonts w:ascii="Arial" w:cs="Arial" w:hAnsi="Arial"/>
          <w:color w:val="00000A"/>
          <w:sz w:val="20"/>
          <w:szCs w:val="18"/>
          <w:vertAlign w:val="superscript"/>
        </w:rPr>
        <w:footnoteRef/>
        <w:tab/>
      </w:r>
      <w:r>
        <w:rPr>
          <w:rFonts w:ascii="Arial" w:cs="Arial" w:hAnsi="Arial"/>
          <w:color w:val="00000A"/>
          <w:sz w:val="20"/>
          <w:szCs w:val="18"/>
          <w:vertAlign w:val="superscript"/>
        </w:rPr>
        <w:tab/>
      </w:r>
      <w:r>
        <w:rPr>
          <w:rFonts w:ascii="Arial" w:cs="Arial" w:hAnsi="Arial"/>
          <w:color w:val="00000A"/>
          <w:sz w:val="20"/>
          <w:szCs w:val="18"/>
        </w:rPr>
        <w:t xml:space="preserve"> Artes, Ciencias de la Comunicación, Ciencias Políticas, Derecho, Filosofía, Letras, Antropología, Edición, Psicología. También de otras formaciones como Psicología Social, Fotografía, Cine, Recreación y Tiempo Libre.</w:t>
      </w:r>
    </w:p>
  </w:footnote>
  <w:footnote w:id="4">
    <w:p>
      <w:pPr>
        <w:pStyle w:val="style79"/>
        <w:spacing w:after="120" w:before="0" w:line="100" w:lineRule="atLeast"/>
      </w:pPr>
      <w:r>
        <w:rPr>
          <w:rStyle w:val="style47"/>
          <w:rFonts w:ascii="Arial" w:cs="Arial" w:hAnsi="Arial"/>
          <w:sz w:val="20"/>
          <w:szCs w:val="18"/>
        </w:rPr>
        <w:footnoteRef/>
        <w:tab/>
      </w:r>
      <w:r>
        <w:rPr>
          <w:rStyle w:val="style47"/>
          <w:rFonts w:ascii="Arial" w:cs="Arial" w:hAnsi="Arial"/>
          <w:sz w:val="20"/>
          <w:szCs w:val="18"/>
        </w:rPr>
        <w:tab/>
      </w:r>
      <w:r>
        <w:rPr>
          <w:rFonts w:ascii="Arial" w:cs="Arial" w:hAnsi="Arial"/>
          <w:sz w:val="20"/>
          <w:szCs w:val="18"/>
        </w:rPr>
        <w:t xml:space="preserve"> </w:t>
      </w:r>
      <w:r>
        <w:rPr>
          <w:rFonts w:ascii="Arial" w:cs="Arial" w:hAnsi="Arial"/>
          <w:sz w:val="20"/>
          <w:szCs w:val="18"/>
          <w:lang w:val="es-ES"/>
        </w:rPr>
        <w:t>Resolución 4424 SPU/2014. Directora: Graciela Daleo. Coordinadora: Silvia Viñas</w:t>
      </w:r>
    </w:p>
  </w:footnote>
  <w:footnote w:id="5">
    <w:p>
      <w:pPr>
        <w:pStyle w:val="style79"/>
        <w:spacing w:after="120" w:before="0" w:line="100" w:lineRule="atLeast"/>
      </w:pPr>
      <w:r>
        <w:rPr>
          <w:rStyle w:val="style47"/>
          <w:rFonts w:ascii="Arial" w:cs="Arial" w:hAnsi="Arial"/>
          <w:sz w:val="20"/>
          <w:szCs w:val="18"/>
        </w:rPr>
        <w:footnoteRef/>
        <w:tab/>
      </w:r>
      <w:r>
        <w:rPr>
          <w:rStyle w:val="style47"/>
          <w:rFonts w:ascii="Arial" w:cs="Arial" w:hAnsi="Arial"/>
          <w:sz w:val="20"/>
          <w:szCs w:val="18"/>
        </w:rPr>
        <w:tab/>
      </w:r>
      <w:r>
        <w:rPr>
          <w:rFonts w:ascii="Arial" w:cs="Arial" w:hAnsi="Arial"/>
          <w:sz w:val="20"/>
          <w:szCs w:val="18"/>
        </w:rPr>
        <w:t xml:space="preserve"> </w:t>
      </w:r>
      <w:r>
        <w:rPr>
          <w:rFonts w:ascii="Arial" w:cs="Arial" w:hAnsi="Arial"/>
          <w:color w:val="00000A"/>
          <w:sz w:val="20"/>
          <w:szCs w:val="18"/>
        </w:rPr>
        <w:t xml:space="preserve">Alessandro De Giorgi advierte que la metrópolis postfordista separa en su interior espacios de reclusión diferenciando selectivamente las posibilidades de movimiento e interacción y transcribe la siguiente cita de Razac: “Se logra crear así una escala social mensurable según la capacidad de acceso a los lugares valorizados simbólica y/o económicamente”. Alessandro De Giorgi; 2006. </w:t>
      </w:r>
      <w:r>
        <w:rPr>
          <w:rFonts w:ascii="Arial" w:cs="Arial" w:hAnsi="Arial"/>
          <w:i/>
          <w:color w:val="00000A"/>
          <w:sz w:val="20"/>
          <w:szCs w:val="18"/>
        </w:rPr>
        <w:t>El gobierno de la excedencia.Postfordismo y control de la multitud</w:t>
      </w:r>
      <w:r>
        <w:rPr>
          <w:rFonts w:ascii="Arial" w:cs="Arial" w:hAnsi="Arial"/>
          <w:color w:val="00000A"/>
          <w:sz w:val="20"/>
          <w:szCs w:val="18"/>
        </w:rPr>
        <w:t>. Traficantes de sueños, Mapas 16, p. 137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720" w:val="left"/>
        <w:tab w:leader="none" w:pos="4252" w:val="center"/>
        <w:tab w:leader="none" w:pos="8504" w:val="right"/>
      </w:tabs>
      <w:spacing w:after="0" w:before="708" w:line="100" w:lineRule="atLeast"/>
      <w:jc w:val="right"/>
    </w:pPr>
    <w:r>
      <w:rPr/>
      <w:t>10</w:t>
    </w:r>
  </w:p>
  <w:p>
    <w:pPr>
      <w:pStyle w:val="style0"/>
      <w:tabs>
        <w:tab w:leader="none" w:pos="720" w:val="left"/>
        <w:tab w:leader="none" w:pos="4252" w:val="center"/>
        <w:tab w:leader="none" w:pos="8504" w:val="right"/>
      </w:tabs>
      <w:spacing w:after="0" w:before="0" w:line="100" w:lineRule="atLeas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ind w:hanging="-1080" w:left="720"/>
      </w:pPr>
    </w:lvl>
    <w:lvl w:ilvl="1">
      <w:start w:val="1"/>
      <w:numFmt w:val="lowerLetter"/>
      <w:lvlText w:val="%2."/>
      <w:lvlJc w:val="left"/>
      <w:pPr>
        <w:ind w:hanging="-2520" w:left="1440"/>
      </w:pPr>
    </w:lvl>
    <w:lvl w:ilvl="2">
      <w:start w:val="1"/>
      <w:numFmt w:val="lowerRoman"/>
      <w:lvlText w:val="%3."/>
      <w:lvlJc w:val="right"/>
      <w:pPr>
        <w:ind w:hanging="-4140" w:left="2160"/>
      </w:pPr>
    </w:lvl>
    <w:lvl w:ilvl="3">
      <w:start w:val="1"/>
      <w:numFmt w:val="decimal"/>
      <w:lvlText w:val="%4."/>
      <w:lvlJc w:val="left"/>
      <w:pPr>
        <w:ind w:hanging="-5400" w:left="2880"/>
      </w:pPr>
    </w:lvl>
    <w:lvl w:ilvl="4">
      <w:start w:val="1"/>
      <w:numFmt w:val="lowerLetter"/>
      <w:lvlText w:val="%5."/>
      <w:lvlJc w:val="left"/>
      <w:pPr>
        <w:ind w:hanging="-6840" w:left="3600"/>
      </w:pPr>
    </w:lvl>
    <w:lvl w:ilvl="5">
      <w:start w:val="1"/>
      <w:numFmt w:val="lowerRoman"/>
      <w:lvlText w:val="%6."/>
      <w:lvlJc w:val="right"/>
      <w:pPr>
        <w:ind w:hanging="-8460" w:left="4320"/>
      </w:pPr>
    </w:lvl>
    <w:lvl w:ilvl="6">
      <w:start w:val="1"/>
      <w:numFmt w:val="decimal"/>
      <w:lvlText w:val="%7."/>
      <w:lvlJc w:val="left"/>
      <w:pPr>
        <w:ind w:hanging="-9720" w:left="5040"/>
      </w:pPr>
    </w:lvl>
    <w:lvl w:ilvl="7">
      <w:start w:val="1"/>
      <w:numFmt w:val="lowerLetter"/>
      <w:lvlText w:val="%8."/>
      <w:lvlJc w:val="left"/>
      <w:pPr>
        <w:ind w:hanging="-11160" w:left="5760"/>
      </w:pPr>
    </w:lvl>
    <w:lvl w:ilvl="8">
      <w:start w:val="1"/>
      <w:numFmt w:val="lowerRoman"/>
      <w:lvlText w:val="%9."/>
      <w:lvlJc w:val="right"/>
      <w:pPr>
        <w:ind w:hanging="-12780" w:left="6480"/>
      </w:pPr>
    </w:lvl>
  </w:abstractNum>
  <w:abstractNum w:abstractNumId="3">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spacing w:after="200" w:before="0" w:line="276" w:lineRule="auto"/>
    </w:pPr>
    <w:rPr>
      <w:rFonts w:ascii="Calibri" w:cs="Calibri" w:eastAsia="Calibri" w:hAnsi="Calibri"/>
      <w:color w:val="000000"/>
      <w:sz w:val="22"/>
      <w:szCs w:val="22"/>
      <w:lang w:bidi="ar-SA" w:eastAsia="es-AR" w:val="es-AR"/>
    </w:rPr>
  </w:style>
  <w:style w:styleId="style4" w:type="paragraph">
    <w:name w:val="Encabezado 4"/>
    <w:basedOn w:val="style0"/>
    <w:next w:val="style65"/>
    <w:pPr>
      <w:numPr>
        <w:ilvl w:val="3"/>
        <w:numId w:val="1"/>
      </w:numPr>
      <w:spacing w:after="100" w:before="100" w:line="100" w:lineRule="atLeast"/>
      <w:outlineLvl w:val="3"/>
    </w:pPr>
    <w:rPr>
      <w:rFonts w:ascii="Times New Roman" w:cs="Times New Roman" w:eastAsia="Times New Roman" w:hAnsi="Times New Roman"/>
      <w:b/>
      <w:bCs/>
      <w:i/>
      <w:iCs/>
      <w:color w:val="00000A"/>
      <w:sz w:val="24"/>
      <w:szCs w:val="24"/>
    </w:rPr>
  </w:style>
  <w:style w:styleId="style5" w:type="paragraph">
    <w:name w:val="Encabezado 5"/>
    <w:basedOn w:val="style0"/>
    <w:next w:val="style65"/>
    <w:pPr>
      <w:numPr>
        <w:ilvl w:val="4"/>
        <w:numId w:val="1"/>
      </w:numPr>
      <w:spacing w:after="100" w:before="100" w:line="100" w:lineRule="atLeast"/>
      <w:outlineLvl w:val="4"/>
    </w:pPr>
    <w:rPr>
      <w:rFonts w:ascii="Times New Roman" w:cs="Times New Roman" w:eastAsia="Times New Roman" w:hAnsi="Times New Roman"/>
      <w:b/>
      <w:bCs/>
      <w:color w:val="00000A"/>
      <w:sz w:val="20"/>
      <w:szCs w:val="20"/>
    </w:rPr>
  </w:style>
  <w:style w:styleId="style15" w:type="character">
    <w:name w:val="Default Paragraph Font"/>
    <w:next w:val="style15"/>
    <w:rPr/>
  </w:style>
  <w:style w:styleId="style16" w:type="character">
    <w:name w:val="Título 4 Car"/>
    <w:basedOn w:val="style15"/>
    <w:next w:val="style16"/>
    <w:rPr>
      <w:rFonts w:ascii="Times New Roman" w:cs="Times New Roman" w:hAnsi="Times New Roman"/>
      <w:b/>
      <w:bCs/>
      <w:color w:val="00000A"/>
      <w:sz w:val="24"/>
      <w:szCs w:val="24"/>
    </w:rPr>
  </w:style>
  <w:style w:styleId="style17" w:type="character">
    <w:name w:val="Título 5 Car"/>
    <w:basedOn w:val="style15"/>
    <w:next w:val="style17"/>
    <w:rPr>
      <w:rFonts w:ascii="Times New Roman" w:cs="Times New Roman" w:hAnsi="Times New Roman"/>
      <w:b/>
      <w:bCs/>
      <w:color w:val="00000A"/>
      <w:sz w:val="20"/>
      <w:szCs w:val="20"/>
    </w:rPr>
  </w:style>
  <w:style w:styleId="style18" w:type="character">
    <w:name w:val="ListLabel 1"/>
    <w:next w:val="style18"/>
    <w:rPr>
      <w:rFonts w:eastAsia="Times New Roman"/>
      <w:b/>
      <w:sz w:val="24"/>
    </w:rPr>
  </w:style>
  <w:style w:styleId="style19" w:type="character">
    <w:name w:val="ListLabel 2"/>
    <w:next w:val="style19"/>
    <w:rPr>
      <w:rFonts w:ascii="Times New Roman" w:hAnsi="Times New Roman"/>
      <w:sz w:val="24"/>
      <w:u w:val="none"/>
    </w:rPr>
  </w:style>
  <w:style w:styleId="style20" w:type="character">
    <w:name w:val="ListLabel 3"/>
    <w:next w:val="style20"/>
    <w:rPr>
      <w:u w:val="none"/>
    </w:rPr>
  </w:style>
  <w:style w:styleId="style21" w:type="character">
    <w:name w:val="ListLabel 4"/>
    <w:next w:val="style21"/>
    <w:rPr>
      <w:u w:val="none"/>
    </w:rPr>
  </w:style>
  <w:style w:styleId="style22" w:type="character">
    <w:name w:val="ListLabel 5"/>
    <w:next w:val="style22"/>
    <w:rPr>
      <w:u w:val="none"/>
    </w:rPr>
  </w:style>
  <w:style w:styleId="style23" w:type="character">
    <w:name w:val="ListLabel 6"/>
    <w:next w:val="style23"/>
    <w:rPr>
      <w:u w:val="none"/>
    </w:rPr>
  </w:style>
  <w:style w:styleId="style24" w:type="character">
    <w:name w:val="ListLabel 7"/>
    <w:next w:val="style24"/>
    <w:rPr>
      <w:u w:val="none"/>
    </w:rPr>
  </w:style>
  <w:style w:styleId="style25" w:type="character">
    <w:name w:val="ListLabel 8"/>
    <w:next w:val="style25"/>
    <w:rPr>
      <w:u w:val="none"/>
    </w:rPr>
  </w:style>
  <w:style w:styleId="style26" w:type="character">
    <w:name w:val="ListLabel 9"/>
    <w:next w:val="style26"/>
    <w:rPr>
      <w:u w:val="none"/>
    </w:rPr>
  </w:style>
  <w:style w:styleId="style27" w:type="character">
    <w:name w:val="ListLabel 10"/>
    <w:next w:val="style27"/>
    <w:rPr>
      <w:u w:val="none"/>
    </w:rPr>
  </w:style>
  <w:style w:styleId="style28" w:type="character">
    <w:name w:val="Enlace de Internet"/>
    <w:basedOn w:val="style15"/>
    <w:next w:val="style28"/>
    <w:rPr>
      <w:rFonts w:cs="Times New Roman"/>
      <w:color w:val="0000FF"/>
      <w:u w:val="single"/>
      <w:lang w:bidi="es-ES" w:eastAsia="es-ES" w:val="es-ES"/>
    </w:rPr>
  </w:style>
  <w:style w:styleId="style29" w:type="character">
    <w:name w:val="Ancla de nota al pie"/>
    <w:next w:val="style29"/>
    <w:rPr>
      <w:vertAlign w:val="superscript"/>
    </w:rPr>
  </w:style>
  <w:style w:styleId="style30" w:type="character">
    <w:name w:val="Ancla de nota final"/>
    <w:next w:val="style30"/>
    <w:rPr>
      <w:vertAlign w:val="superscript"/>
    </w:rPr>
  </w:style>
  <w:style w:styleId="style31" w:type="character">
    <w:name w:val="ListLabel 11"/>
    <w:next w:val="style31"/>
    <w:rPr>
      <w:rFonts w:eastAsia="Times New Roman"/>
      <w:b/>
      <w:sz w:val="24"/>
    </w:rPr>
  </w:style>
  <w:style w:styleId="style32" w:type="character">
    <w:name w:val="ListLabel 12"/>
    <w:next w:val="style32"/>
    <w:rPr>
      <w:sz w:val="24"/>
      <w:u w:val="none"/>
    </w:rPr>
  </w:style>
  <w:style w:styleId="style33" w:type="character">
    <w:name w:val="ListLabel 13"/>
    <w:next w:val="style33"/>
    <w:rPr>
      <w:u w:val="none"/>
    </w:rPr>
  </w:style>
  <w:style w:styleId="style34" w:type="character">
    <w:name w:val="ListLabel 14"/>
    <w:next w:val="style34"/>
    <w:rPr>
      <w:u w:val="none"/>
    </w:rPr>
  </w:style>
  <w:style w:styleId="style35" w:type="character">
    <w:name w:val="ListLabel 15"/>
    <w:next w:val="style35"/>
    <w:rPr>
      <w:u w:val="none"/>
    </w:rPr>
  </w:style>
  <w:style w:styleId="style36" w:type="character">
    <w:name w:val="ListLabel 16"/>
    <w:next w:val="style36"/>
    <w:rPr>
      <w:u w:val="none"/>
    </w:rPr>
  </w:style>
  <w:style w:styleId="style37" w:type="character">
    <w:name w:val="ListLabel 17"/>
    <w:next w:val="style37"/>
    <w:rPr>
      <w:u w:val="none"/>
    </w:rPr>
  </w:style>
  <w:style w:styleId="style38" w:type="character">
    <w:name w:val="ListLabel 18"/>
    <w:next w:val="style38"/>
    <w:rPr>
      <w:u w:val="none"/>
    </w:rPr>
  </w:style>
  <w:style w:styleId="style39" w:type="character">
    <w:name w:val="ListLabel 19"/>
    <w:next w:val="style39"/>
    <w:rPr>
      <w:u w:val="none"/>
    </w:rPr>
  </w:style>
  <w:style w:styleId="style40" w:type="character">
    <w:name w:val="ListLabel 20"/>
    <w:next w:val="style40"/>
    <w:rPr>
      <w:u w:val="none"/>
    </w:rPr>
  </w:style>
  <w:style w:styleId="style41" w:type="character">
    <w:name w:val="ListLabel 21"/>
    <w:next w:val="style41"/>
    <w:rPr>
      <w:rFonts w:ascii="Times New Roman" w:hAnsi="Times New Roman"/>
      <w:b/>
      <w:sz w:val="24"/>
    </w:rPr>
  </w:style>
  <w:style w:styleId="style42" w:type="character">
    <w:name w:val="ListLabel 22"/>
    <w:next w:val="style42"/>
    <w:rPr>
      <w:rFonts w:eastAsia="Times New Roman"/>
      <w:sz w:val="24"/>
    </w:rPr>
  </w:style>
  <w:style w:styleId="style43" w:type="character">
    <w:name w:val="Título Car"/>
    <w:basedOn w:val="style15"/>
    <w:next w:val="style43"/>
    <w:rPr>
      <w:rFonts w:ascii="Cambria" w:cs="Times New Roman" w:eastAsia="Times New Roman" w:hAnsi="Cambria"/>
      <w:b/>
      <w:bCs/>
      <w:color w:val="000000"/>
      <w:sz w:val="32"/>
      <w:szCs w:val="32"/>
    </w:rPr>
  </w:style>
  <w:style w:styleId="style44" w:type="character">
    <w:name w:val="Texto independiente Car"/>
    <w:basedOn w:val="style15"/>
    <w:next w:val="style44"/>
    <w:rPr>
      <w:color w:val="000000"/>
    </w:rPr>
  </w:style>
  <w:style w:styleId="style45" w:type="character">
    <w:name w:val="Subtítulo Car"/>
    <w:basedOn w:val="style15"/>
    <w:next w:val="style45"/>
    <w:rPr>
      <w:rFonts w:ascii="Cambria" w:cs="Times New Roman" w:eastAsia="Times New Roman" w:hAnsi="Cambria"/>
      <w:color w:val="000000"/>
      <w:sz w:val="24"/>
      <w:szCs w:val="24"/>
    </w:rPr>
  </w:style>
  <w:style w:styleId="style46" w:type="character">
    <w:name w:val="Texto nota pie Car"/>
    <w:basedOn w:val="style15"/>
    <w:next w:val="style46"/>
    <w:rPr>
      <w:color w:val="000000"/>
      <w:sz w:val="20"/>
      <w:szCs w:val="20"/>
    </w:rPr>
  </w:style>
  <w:style w:styleId="style47" w:type="character">
    <w:name w:val="footnote reference"/>
    <w:basedOn w:val="style15"/>
    <w:next w:val="style47"/>
    <w:rPr>
      <w:rFonts w:cs="Times New Roman"/>
      <w:vertAlign w:val="superscript"/>
    </w:rPr>
  </w:style>
  <w:style w:styleId="style48" w:type="character">
    <w:name w:val="FollowedHyperlink"/>
    <w:basedOn w:val="style15"/>
    <w:next w:val="style48"/>
    <w:rPr>
      <w:rFonts w:cs="Times New Roman"/>
      <w:color w:val="954F72"/>
      <w:u w:val="single"/>
    </w:rPr>
  </w:style>
  <w:style w:styleId="style49" w:type="character">
    <w:name w:val="textoplano"/>
    <w:basedOn w:val="style15"/>
    <w:next w:val="style49"/>
    <w:rPr>
      <w:rFonts w:cs="Times New Roman"/>
    </w:rPr>
  </w:style>
  <w:style w:styleId="style50" w:type="character">
    <w:name w:val="annotation reference"/>
    <w:basedOn w:val="style15"/>
    <w:next w:val="style50"/>
    <w:rPr>
      <w:rFonts w:cs="Times New Roman"/>
      <w:sz w:val="16"/>
      <w:szCs w:val="16"/>
    </w:rPr>
  </w:style>
  <w:style w:styleId="style51" w:type="character">
    <w:name w:val="Texto comentario Car"/>
    <w:basedOn w:val="style15"/>
    <w:next w:val="style51"/>
    <w:rPr>
      <w:rFonts w:ascii="Times New Roman" w:cs="Times New Roman" w:hAnsi="Times New Roman"/>
      <w:color w:val="00000A"/>
      <w:sz w:val="20"/>
      <w:szCs w:val="20"/>
      <w:lang w:eastAsia="es-MX" w:val="es-ES"/>
    </w:rPr>
  </w:style>
  <w:style w:styleId="style52" w:type="character">
    <w:name w:val="Texto de globo Car"/>
    <w:basedOn w:val="style15"/>
    <w:next w:val="style52"/>
    <w:rPr>
      <w:rFonts w:ascii="Tahoma" w:cs="Tahoma" w:hAnsi="Tahoma"/>
      <w:sz w:val="16"/>
      <w:szCs w:val="16"/>
    </w:rPr>
  </w:style>
  <w:style w:styleId="style53" w:type="character">
    <w:name w:val="ListLabel 23"/>
    <w:next w:val="style53"/>
    <w:rPr>
      <w:rFonts w:cs="Times New Roman"/>
    </w:rPr>
  </w:style>
  <w:style w:styleId="style54" w:type="character">
    <w:name w:val="ListLabel 24"/>
    <w:next w:val="style54"/>
    <w:rPr>
      <w:rFonts w:cs="Times New Roman"/>
      <w:b/>
      <w:sz w:val="24"/>
    </w:rPr>
  </w:style>
  <w:style w:styleId="style55" w:type="character">
    <w:name w:val="ListLabel 25"/>
    <w:next w:val="style55"/>
    <w:rPr>
      <w:rFonts w:cs="Times New Roman" w:eastAsia="Times New Roman"/>
      <w:sz w:val="24"/>
    </w:rPr>
  </w:style>
  <w:style w:styleId="style56" w:type="character">
    <w:name w:val="ListLabel 26"/>
    <w:next w:val="style56"/>
    <w:rPr>
      <w:rFonts w:eastAsia="Times New Roman"/>
    </w:rPr>
  </w:style>
  <w:style w:styleId="style57" w:type="character">
    <w:name w:val="ListLabel 27"/>
    <w:next w:val="style57"/>
    <w:rPr>
      <w:rFonts w:eastAsia="Times New Roman"/>
      <w:position w:val="0"/>
      <w:sz w:val="20"/>
      <w:sz w:val="20"/>
      <w:vertAlign w:val="baseline"/>
    </w:rPr>
  </w:style>
  <w:style w:styleId="style58" w:type="character">
    <w:name w:val="ListLabel 28"/>
    <w:next w:val="style58"/>
    <w:rPr>
      <w:rFonts w:cs="Calibri"/>
    </w:rPr>
  </w:style>
  <w:style w:styleId="style59" w:type="character">
    <w:name w:val="ListLabel 29"/>
    <w:next w:val="style59"/>
    <w:rPr>
      <w:rFonts w:cs="Courier New"/>
    </w:rPr>
  </w:style>
  <w:style w:styleId="style60" w:type="character">
    <w:name w:val="ListLabel 30"/>
    <w:next w:val="style60"/>
    <w:rPr>
      <w:rFonts w:cs="Wingdings"/>
    </w:rPr>
  </w:style>
  <w:style w:styleId="style61" w:type="character">
    <w:name w:val="ListLabel 31"/>
    <w:next w:val="style61"/>
    <w:rPr>
      <w:rFonts w:cs="Symbol"/>
    </w:rPr>
  </w:style>
  <w:style w:styleId="style62" w:type="character">
    <w:name w:val="Caracteres de nota al pie"/>
    <w:next w:val="style62"/>
    <w:rPr/>
  </w:style>
  <w:style w:styleId="style63" w:type="character">
    <w:name w:val="Caracteres de nota final"/>
    <w:next w:val="style63"/>
    <w:rPr/>
  </w:style>
  <w:style w:styleId="style64" w:type="paragraph">
    <w:name w:val="Encabezado"/>
    <w:basedOn w:val="style0"/>
    <w:next w:val="style65"/>
    <w:pPr>
      <w:keepNext/>
      <w:spacing w:after="120" w:before="240"/>
    </w:pPr>
    <w:rPr>
      <w:rFonts w:ascii="Liberation Sans" w:cs="FreeSans" w:eastAsia="Droid Sans" w:hAnsi="Liberation Sans"/>
      <w:sz w:val="28"/>
      <w:szCs w:val="28"/>
    </w:rPr>
  </w:style>
  <w:style w:styleId="style65" w:type="paragraph">
    <w:name w:val="Cuerpo de texto"/>
    <w:basedOn w:val="style0"/>
    <w:next w:val="style65"/>
    <w:pPr>
      <w:spacing w:after="140" w:before="0" w:line="288" w:lineRule="auto"/>
    </w:pPr>
    <w:rPr/>
  </w:style>
  <w:style w:styleId="style66" w:type="paragraph">
    <w:name w:val="Lista"/>
    <w:basedOn w:val="style65"/>
    <w:next w:val="style66"/>
    <w:pPr/>
    <w:rPr>
      <w:rFonts w:cs="FreeSans"/>
    </w:rPr>
  </w:style>
  <w:style w:styleId="style67" w:type="paragraph">
    <w:name w:val="Etiqueta"/>
    <w:basedOn w:val="style0"/>
    <w:next w:val="style67"/>
    <w:pPr>
      <w:suppressLineNumbers/>
      <w:spacing w:after="120" w:before="120"/>
    </w:pPr>
    <w:rPr>
      <w:rFonts w:cs="FreeSans"/>
      <w:i/>
      <w:iCs/>
      <w:sz w:val="24"/>
      <w:szCs w:val="24"/>
    </w:rPr>
  </w:style>
  <w:style w:styleId="style68" w:type="paragraph">
    <w:name w:val="Índice"/>
    <w:basedOn w:val="style0"/>
    <w:next w:val="style68"/>
    <w:pPr>
      <w:suppressLineNumbers/>
    </w:pPr>
    <w:rPr>
      <w:rFonts w:cs="FreeSans"/>
    </w:rPr>
  </w:style>
  <w:style w:styleId="style69" w:type="paragraph">
    <w:name w:val="Heading 11"/>
    <w:basedOn w:val="style0"/>
    <w:next w:val="style69"/>
    <w:pPr>
      <w:keepNext/>
      <w:keepLines/>
      <w:spacing w:after="120" w:before="480"/>
    </w:pPr>
    <w:rPr>
      <w:b/>
      <w:sz w:val="48"/>
      <w:szCs w:val="48"/>
    </w:rPr>
  </w:style>
  <w:style w:styleId="style70" w:type="paragraph">
    <w:name w:val="Heading 21"/>
    <w:basedOn w:val="style0"/>
    <w:next w:val="style70"/>
    <w:pPr>
      <w:keepNext/>
      <w:keepLines/>
      <w:spacing w:after="80" w:before="360"/>
    </w:pPr>
    <w:rPr>
      <w:b/>
      <w:sz w:val="36"/>
      <w:szCs w:val="36"/>
    </w:rPr>
  </w:style>
  <w:style w:styleId="style71" w:type="paragraph">
    <w:name w:val="Heading 31"/>
    <w:basedOn w:val="style0"/>
    <w:next w:val="style71"/>
    <w:pPr>
      <w:keepNext/>
      <w:keepLines/>
      <w:spacing w:after="80" w:before="280"/>
    </w:pPr>
    <w:rPr>
      <w:b/>
      <w:sz w:val="28"/>
      <w:szCs w:val="28"/>
    </w:rPr>
  </w:style>
  <w:style w:styleId="style72" w:type="paragraph">
    <w:name w:val="Heading 41"/>
    <w:basedOn w:val="style0"/>
    <w:next w:val="style72"/>
    <w:pPr>
      <w:keepNext/>
      <w:keepLines/>
      <w:spacing w:after="40" w:before="240"/>
    </w:pPr>
    <w:rPr>
      <w:b/>
      <w:sz w:val="24"/>
      <w:szCs w:val="24"/>
    </w:rPr>
  </w:style>
  <w:style w:styleId="style73" w:type="paragraph">
    <w:name w:val="Heading 51"/>
    <w:basedOn w:val="style0"/>
    <w:next w:val="style73"/>
    <w:pPr>
      <w:keepNext/>
      <w:keepLines/>
      <w:spacing w:after="40" w:before="220"/>
    </w:pPr>
    <w:rPr>
      <w:b/>
    </w:rPr>
  </w:style>
  <w:style w:styleId="style74" w:type="paragraph">
    <w:name w:val="Heading 61"/>
    <w:basedOn w:val="style0"/>
    <w:next w:val="style74"/>
    <w:pPr>
      <w:keepNext/>
      <w:keepLines/>
      <w:spacing w:after="40" w:before="200"/>
    </w:pPr>
    <w:rPr>
      <w:b/>
      <w:sz w:val="20"/>
      <w:szCs w:val="20"/>
    </w:rPr>
  </w:style>
  <w:style w:styleId="style75" w:type="paragraph">
    <w:name w:val="Título"/>
    <w:basedOn w:val="style0"/>
    <w:next w:val="style76"/>
    <w:pPr>
      <w:keepNext/>
      <w:keepLines/>
      <w:spacing w:after="120" w:before="480"/>
      <w:jc w:val="center"/>
    </w:pPr>
    <w:rPr>
      <w:b/>
      <w:bCs/>
      <w:sz w:val="72"/>
      <w:szCs w:val="72"/>
    </w:rPr>
  </w:style>
  <w:style w:styleId="style76" w:type="paragraph">
    <w:name w:val="Subtítulo"/>
    <w:basedOn w:val="style0"/>
    <w:next w:val="style65"/>
    <w:pPr>
      <w:keepNext/>
      <w:keepLines/>
      <w:spacing w:after="80" w:before="360"/>
      <w:jc w:val="center"/>
    </w:pPr>
    <w:rPr>
      <w:rFonts w:ascii="Georgia" w:cs="Georgia" w:hAnsi="Georgia"/>
      <w:i/>
      <w:iCs/>
      <w:color w:val="666666"/>
      <w:sz w:val="48"/>
      <w:szCs w:val="48"/>
    </w:rPr>
  </w:style>
  <w:style w:styleId="style77" w:type="paragraph">
    <w:name w:val="Caption1"/>
    <w:basedOn w:val="style0"/>
    <w:next w:val="style77"/>
    <w:pPr>
      <w:suppressLineNumbers/>
      <w:spacing w:after="120" w:before="120"/>
    </w:pPr>
    <w:rPr>
      <w:rFonts w:cs="FreeSans"/>
      <w:i/>
      <w:iCs/>
      <w:sz w:val="24"/>
      <w:szCs w:val="24"/>
    </w:rPr>
  </w:style>
  <w:style w:styleId="style78" w:type="paragraph">
    <w:name w:val="caption"/>
    <w:basedOn w:val="style0"/>
    <w:next w:val="style78"/>
    <w:pPr>
      <w:suppressLineNumbers/>
      <w:spacing w:after="120" w:before="120"/>
    </w:pPr>
    <w:rPr>
      <w:rFonts w:cs="FreeSans"/>
      <w:i/>
      <w:iCs/>
      <w:sz w:val="24"/>
      <w:szCs w:val="24"/>
    </w:rPr>
  </w:style>
  <w:style w:styleId="style79" w:type="paragraph">
    <w:name w:val="footnote text"/>
    <w:basedOn w:val="style0"/>
    <w:next w:val="style79"/>
    <w:pPr/>
    <w:rPr/>
  </w:style>
  <w:style w:styleId="style80" w:type="paragraph">
    <w:name w:val="Header1"/>
    <w:basedOn w:val="style0"/>
    <w:next w:val="style80"/>
    <w:pPr/>
    <w:rPr/>
  </w:style>
  <w:style w:styleId="style81" w:type="paragraph">
    <w:name w:val="List Paragraph"/>
    <w:basedOn w:val="style0"/>
    <w:next w:val="style81"/>
    <w:pPr>
      <w:ind w:hanging="0" w:left="720" w:right="0"/>
    </w:pPr>
    <w:rPr/>
  </w:style>
  <w:style w:styleId="style82" w:type="paragraph">
    <w:name w:val="Footnote Text1"/>
    <w:basedOn w:val="style0"/>
    <w:next w:val="style82"/>
    <w:pPr/>
    <w:rPr/>
  </w:style>
  <w:style w:styleId="style83" w:type="paragraph">
    <w:name w:val="Normal (Web)"/>
    <w:basedOn w:val="style0"/>
    <w:next w:val="style83"/>
    <w:pPr>
      <w:spacing w:after="100" w:before="100" w:line="100" w:lineRule="atLeast"/>
    </w:pPr>
    <w:rPr>
      <w:rFonts w:ascii="Times New Roman" w:cs="Times New Roman" w:eastAsia="Times New Roman" w:hAnsi="Times New Roman"/>
      <w:color w:val="00000A"/>
      <w:sz w:val="24"/>
      <w:szCs w:val="24"/>
    </w:rPr>
  </w:style>
  <w:style w:styleId="style84" w:type="paragraph">
    <w:name w:val="Normal1"/>
    <w:next w:val="style84"/>
    <w:pPr>
      <w:widowControl/>
      <w:tabs>
        <w:tab w:leader="none" w:pos="720" w:val="left"/>
      </w:tabs>
      <w:suppressAutoHyphens w:val="true"/>
      <w:spacing w:after="200" w:before="0" w:line="276" w:lineRule="auto"/>
    </w:pPr>
    <w:rPr>
      <w:rFonts w:ascii="Calibri" w:cs="Calibri" w:eastAsia="Calibri" w:hAnsi="Calibri"/>
      <w:color w:val="000000"/>
      <w:sz w:val="22"/>
      <w:szCs w:val="22"/>
      <w:lang w:bidi="ar-SA" w:eastAsia="es-AR" w:val="es-AR"/>
    </w:rPr>
  </w:style>
  <w:style w:styleId="style85" w:type="paragraph">
    <w:name w:val="annotation text"/>
    <w:basedOn w:val="style0"/>
    <w:next w:val="style85"/>
    <w:pPr>
      <w:spacing w:after="0" w:before="0" w:line="100" w:lineRule="atLeast"/>
    </w:pPr>
    <w:rPr>
      <w:rFonts w:ascii="Times New Roman" w:cs="Times New Roman" w:eastAsia="Times New Roman" w:hAnsi="Times New Roman"/>
      <w:color w:val="00000A"/>
      <w:sz w:val="20"/>
      <w:szCs w:val="20"/>
      <w:lang w:eastAsia="es-MX" w:val="es-ES"/>
    </w:rPr>
  </w:style>
  <w:style w:styleId="style86" w:type="paragraph">
    <w:name w:val="Balloon Text"/>
    <w:basedOn w:val="style0"/>
    <w:next w:val="style86"/>
    <w:pPr>
      <w:spacing w:after="0" w:before="0" w:line="100" w:lineRule="atLeast"/>
    </w:pPr>
    <w:rPr>
      <w:rFonts w:ascii="Tahoma" w:cs="Tahoma" w:hAnsi="Tahoma"/>
      <w:sz w:val="16"/>
      <w:szCs w:val="16"/>
    </w:rPr>
  </w:style>
  <w:style w:styleId="style87" w:type="paragraph">
    <w:name w:val="autores"/>
    <w:basedOn w:val="style0"/>
    <w:next w:val="style87"/>
    <w:pPr>
      <w:spacing w:after="100" w:before="100" w:line="100" w:lineRule="atLeast"/>
    </w:pPr>
    <w:rPr>
      <w:rFonts w:ascii="Times New Roman" w:cs="Times New Roman" w:eastAsia="Times New Roman" w:hAnsi="Times New Roman"/>
      <w:color w:val="00000A"/>
      <w:sz w:val="24"/>
      <w:szCs w:val="24"/>
    </w:rPr>
  </w:style>
  <w:style w:styleId="style88" w:type="paragraph">
    <w:name w:val="Nota al pie"/>
    <w:basedOn w:val="style0"/>
    <w:next w:val="style88"/>
    <w:pPr>
      <w:suppressLineNumbers/>
      <w:ind w:hanging="339" w:left="339" w:right="0"/>
    </w:pPr>
    <w:rPr>
      <w:sz w:val="20"/>
      <w:szCs w:val="20"/>
    </w:rPr>
  </w:style>
  <w:style w:styleId="style89" w:type="paragraph">
    <w:name w:val="Encabezamiento"/>
    <w:basedOn w:val="style0"/>
    <w:next w:val="style89"/>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elo.org.mx/pdf/soc/v26n73/v26n73a10.pdf" TargetMode="External"/><Relationship Id="rId3" Type="http://schemas.openxmlformats.org/officeDocument/2006/relationships/hyperlink" Target="http://www.radmila-zygouris.com/fr/livres/pulsions-de-vie/l-enfant-de-la-jubilation/el-nino-del-jubilo.html" TargetMode="External"/><Relationship Id="rId4" Type="http://schemas.openxmlformats.org/officeDocument/2006/relationships/hyperlink" Target="http://www.sigloxxieditores.com.ar/fichaAutor.php?idAutor=1307" TargetMode="External"/><Relationship Id="rId5" Type="http://schemas.openxmlformats.org/officeDocument/2006/relationships/hyperlink" Target="http://www.sigloxxieditores.com.ar/fichaAutor.php?idAutor=998" TargetMode="External"/><Relationship Id="rId6" Type="http://schemas.openxmlformats.org/officeDocument/2006/relationships/hyperlink" Target="http://cidac.filo.uba.ar/sites/cidac.filo.uba.ar/files/revistas/adjuntos/Mirtha Lischetti - Vinculaci&#243;nUniversidad-Sociedad.pdf" TargetMode="External"/><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2017-09-22T15:03:00.00Z</dcterms:created>
  <dc:creator>guadalupe</dc:creator>
  <cp:lastModifiedBy>Usuario</cp:lastModifiedBy>
  <cp:lastPrinted>2017-10-09T17:41:37.00Z</cp:lastPrinted>
  <dcterms:modified xsi:type="dcterms:W3CDTF">2017-09-22T16:14:00.00Z</dcterms:modified>
  <cp:revision>3</cp:revision>
  <dc:title>UNIVERSIDAD DE BUENOS AIRES</dc:title>
</cp:coreProperties>
</file>