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120" w:before="120"/>
        <w:jc w:val="center"/>
      </w:pPr>
      <w:r>
        <w:rPr>
          <w:sz w:val="28"/>
        </w:rPr>
      </w:r>
    </w:p>
    <w:p>
      <w:pPr>
        <w:pStyle w:val="style0"/>
        <w:pBdr>
          <w:top w:color="000001" w:space="0" w:sz="12" w:val="double"/>
          <w:left w:color="000001" w:space="0" w:sz="12" w:val="double"/>
          <w:bottom w:color="000001" w:space="0" w:sz="12" w:val="double"/>
          <w:right w:color="000001" w:space="0" w:sz="12" w:val="double"/>
        </w:pBdr>
        <w:spacing w:after="120" w:before="120"/>
        <w:jc w:val="center"/>
      </w:pPr>
      <w:r>
        <w:rPr/>
        <w:drawing>
          <wp:inline distB="0" distL="0" distR="0" distT="0">
            <wp:extent cx="1615440" cy="15011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615440" cy="1501140"/>
                    </a:xfrm>
                    <a:prstGeom prst="rect">
                      <a:avLst/>
                    </a:prstGeom>
                    <a:noFill/>
                    <a:ln w="9525">
                      <a:noFill/>
                      <a:miter lim="800000"/>
                      <a:headEnd/>
                      <a:tailEnd/>
                    </a:ln>
                  </pic:spPr>
                </pic:pic>
              </a:graphicData>
            </a:graphic>
          </wp:inline>
        </w:drawing>
      </w:r>
    </w:p>
    <w:p>
      <w:pPr>
        <w:pStyle w:val="style0"/>
        <w:pBdr>
          <w:top w:color="000001" w:space="0" w:sz="12" w:val="double"/>
          <w:left w:color="000001" w:space="0" w:sz="12" w:val="double"/>
          <w:bottom w:color="000001" w:space="0" w:sz="12" w:val="double"/>
          <w:right w:color="000001" w:space="0" w:sz="12" w:val="double"/>
        </w:pBdr>
        <w:spacing w:after="120" w:before="120"/>
        <w:jc w:val="center"/>
      </w:pPr>
      <w:r>
        <w:rPr>
          <w:rFonts w:eastAsia="Batang"/>
          <w:iCs/>
          <w:sz w:val="28"/>
        </w:rPr>
      </w:r>
    </w:p>
    <w:p>
      <w:pPr>
        <w:pStyle w:val="style0"/>
        <w:pBdr>
          <w:top w:color="000001" w:space="0" w:sz="12" w:val="double"/>
          <w:left w:color="000001" w:space="0" w:sz="12" w:val="double"/>
          <w:bottom w:color="000001" w:space="0" w:sz="12" w:val="double"/>
          <w:right w:color="000001" w:space="0" w:sz="12" w:val="double"/>
        </w:pBdr>
        <w:spacing w:after="120" w:before="120"/>
        <w:jc w:val="center"/>
      </w:pPr>
      <w:r>
        <w:rPr>
          <w:rFonts w:eastAsia="Batang"/>
          <w:iCs/>
          <w:sz w:val="28"/>
        </w:rPr>
        <w:t>UNIVERSIDAD</w:t>
      </w:r>
      <w:r>
        <w:rPr>
          <w:iCs/>
          <w:sz w:val="28"/>
        </w:rPr>
        <w:t xml:space="preserve"> DE BUENOS AIRES</w:t>
      </w:r>
    </w:p>
    <w:p>
      <w:pPr>
        <w:pStyle w:val="style0"/>
        <w:pBdr>
          <w:top w:color="000001" w:space="0" w:sz="12" w:val="double"/>
          <w:left w:color="000001" w:space="0" w:sz="12" w:val="double"/>
          <w:bottom w:color="000001" w:space="0" w:sz="12" w:val="double"/>
          <w:right w:color="000001" w:space="0" w:sz="12" w:val="double"/>
        </w:pBdr>
        <w:spacing w:after="120" w:before="120"/>
        <w:jc w:val="center"/>
      </w:pPr>
      <w:r>
        <w:rPr>
          <w:iCs/>
          <w:sz w:val="28"/>
        </w:rPr>
        <w:t>FACULTAD DE FILOSOFIA Y LETRAS</w:t>
      </w:r>
    </w:p>
    <w:p>
      <w:pPr>
        <w:pStyle w:val="style0"/>
        <w:pBdr>
          <w:top w:color="000001" w:space="0" w:sz="12" w:val="double"/>
          <w:left w:color="000001" w:space="0" w:sz="12" w:val="double"/>
          <w:bottom w:color="000001" w:space="0" w:sz="12" w:val="double"/>
          <w:right w:color="000001" w:space="0" w:sz="12" w:val="double"/>
        </w:pBdr>
        <w:spacing w:after="120" w:before="120"/>
      </w:pPr>
      <w:r>
        <w:rPr>
          <w:sz w:val="28"/>
        </w:rPr>
      </w:r>
    </w:p>
    <w:p>
      <w:pPr>
        <w:pStyle w:val="style0"/>
        <w:pBdr>
          <w:top w:color="000001" w:space="0" w:sz="12" w:val="double"/>
          <w:left w:color="000001" w:space="0" w:sz="12" w:val="double"/>
          <w:bottom w:color="000001" w:space="0" w:sz="12" w:val="double"/>
          <w:right w:color="000001" w:space="0" w:sz="12" w:val="double"/>
        </w:pBdr>
        <w:spacing w:after="120" w:before="120"/>
      </w:pPr>
      <w:r>
        <w:rPr>
          <w:rFonts w:eastAsia="Batang"/>
          <w:iCs/>
          <w:sz w:val="28"/>
          <w:u w:val="single"/>
        </w:rPr>
        <w:t>DEPARTAMENTO</w:t>
      </w:r>
      <w:r>
        <w:rPr>
          <w:rFonts w:eastAsia="Batang"/>
          <w:iCs/>
          <w:sz w:val="28"/>
        </w:rPr>
        <w:t>:</w:t>
      </w:r>
      <w:r>
        <w:rPr>
          <w:iCs/>
          <w:sz w:val="28"/>
        </w:rPr>
        <w:t xml:space="preserve"> ANTROPOLOGIA </w:t>
      </w:r>
    </w:p>
    <w:p>
      <w:pPr>
        <w:pStyle w:val="style0"/>
        <w:pBdr>
          <w:top w:color="000001" w:space="0" w:sz="12" w:val="double"/>
          <w:left w:color="000001" w:space="0" w:sz="12" w:val="double"/>
          <w:bottom w:color="000001" w:space="0" w:sz="12" w:val="double"/>
          <w:right w:color="000001" w:space="0" w:sz="12" w:val="double"/>
        </w:pBdr>
        <w:spacing w:after="120" w:before="120"/>
      </w:pPr>
      <w:r>
        <w:rPr>
          <w:rFonts w:eastAsia="Batang"/>
          <w:iCs/>
          <w:sz w:val="28"/>
          <w:u w:val="single"/>
        </w:rPr>
      </w:r>
    </w:p>
    <w:p>
      <w:pPr>
        <w:pStyle w:val="style0"/>
        <w:pBdr>
          <w:top w:color="000001" w:space="0" w:sz="12" w:val="double"/>
          <w:left w:color="000001" w:space="0" w:sz="12" w:val="double"/>
          <w:bottom w:color="000001" w:space="0" w:sz="12" w:val="double"/>
          <w:right w:color="000001" w:space="0" w:sz="12" w:val="double"/>
        </w:pBdr>
        <w:spacing w:after="120" w:before="120"/>
      </w:pPr>
      <w:r>
        <w:rPr>
          <w:rFonts w:eastAsia="Batang"/>
          <w:iCs/>
          <w:sz w:val="28"/>
          <w:u w:val="single"/>
        </w:rPr>
        <w:t>ASIGNATURA</w:t>
      </w:r>
      <w:r>
        <w:rPr>
          <w:rFonts w:eastAsia="Batang"/>
          <w:iCs/>
          <w:sz w:val="28"/>
        </w:rPr>
        <w:t>:</w:t>
      </w:r>
      <w:r>
        <w:rPr>
          <w:iCs/>
          <w:sz w:val="28"/>
        </w:rPr>
        <w:t xml:space="preserve"> </w:t>
      </w:r>
    </w:p>
    <w:p>
      <w:pPr>
        <w:pStyle w:val="style0"/>
        <w:pBdr>
          <w:top w:color="000001" w:space="0" w:sz="12" w:val="double"/>
          <w:left w:color="000001" w:space="0" w:sz="12" w:val="double"/>
          <w:bottom w:color="000001" w:space="0" w:sz="12" w:val="double"/>
          <w:right w:color="000001" w:space="0" w:sz="12" w:val="double"/>
        </w:pBdr>
        <w:spacing w:after="120" w:before="120"/>
      </w:pPr>
      <w:r>
        <w:rPr>
          <w:rFonts w:eastAsia="Batang"/>
          <w:iCs/>
          <w:sz w:val="28"/>
        </w:rPr>
        <w:t>SEMINARIO</w:t>
      </w:r>
      <w:r>
        <w:rPr>
          <w:iCs/>
          <w:sz w:val="28"/>
        </w:rPr>
        <w:t xml:space="preserve"> TEMATICO: </w:t>
      </w:r>
      <w:r>
        <w:rPr>
          <w:sz w:val="28"/>
        </w:rPr>
        <w:t xml:space="preserve">LA TRANSMISION CULTURAL EN LOS MUSEOS DE CIENCIAS SOCIALES: LAS EXPOSICIONES </w:t>
      </w:r>
    </w:p>
    <w:p>
      <w:pPr>
        <w:pStyle w:val="style0"/>
        <w:pBdr>
          <w:top w:color="000001" w:space="0" w:sz="12" w:val="double"/>
          <w:left w:color="000001" w:space="0" w:sz="12" w:val="double"/>
          <w:bottom w:color="000001" w:space="0" w:sz="12" w:val="double"/>
          <w:right w:color="000001" w:space="0" w:sz="12" w:val="double"/>
        </w:pBdr>
        <w:spacing w:after="120" w:before="120"/>
      </w:pPr>
      <w:r>
        <w:rPr>
          <w:rFonts w:eastAsia="Batang"/>
          <w:iCs/>
          <w:sz w:val="28"/>
          <w:u w:val="single"/>
        </w:rPr>
      </w:r>
    </w:p>
    <w:p>
      <w:pPr>
        <w:pStyle w:val="style0"/>
        <w:pBdr>
          <w:top w:color="000001" w:space="0" w:sz="12" w:val="double"/>
          <w:left w:color="000001" w:space="0" w:sz="12" w:val="double"/>
          <w:bottom w:color="000001" w:space="0" w:sz="12" w:val="double"/>
          <w:right w:color="000001" w:space="0" w:sz="12" w:val="double"/>
        </w:pBdr>
        <w:spacing w:after="120" w:before="120"/>
      </w:pPr>
      <w:r>
        <w:rPr>
          <w:rFonts w:eastAsia="Batang"/>
          <w:iCs/>
          <w:sz w:val="28"/>
          <w:u w:val="single"/>
        </w:rPr>
        <w:t>PROFESORA</w:t>
      </w:r>
      <w:r>
        <w:rPr>
          <w:rFonts w:eastAsia="Batang"/>
          <w:iCs/>
          <w:sz w:val="28"/>
        </w:rPr>
        <w:t>:</w:t>
      </w:r>
      <w:r>
        <w:rPr>
          <w:iCs/>
          <w:sz w:val="28"/>
          <w:u w:val="single"/>
        </w:rPr>
        <w:t xml:space="preserve"> </w:t>
      </w:r>
    </w:p>
    <w:p>
      <w:pPr>
        <w:pStyle w:val="style0"/>
        <w:pBdr>
          <w:top w:color="000001" w:space="0" w:sz="12" w:val="double"/>
          <w:left w:color="000001" w:space="0" w:sz="12" w:val="double"/>
          <w:bottom w:color="000001" w:space="0" w:sz="12" w:val="double"/>
          <w:right w:color="000001" w:space="0" w:sz="12" w:val="double"/>
        </w:pBdr>
        <w:spacing w:after="120" w:before="120"/>
      </w:pPr>
      <w:r>
        <w:rPr>
          <w:iCs/>
          <w:sz w:val="28"/>
        </w:rPr>
        <w:t xml:space="preserve">CALVO, Silvia  </w:t>
      </w:r>
    </w:p>
    <w:p>
      <w:pPr>
        <w:pStyle w:val="style0"/>
        <w:pBdr>
          <w:top w:color="000001" w:space="0" w:sz="12" w:val="double"/>
          <w:left w:color="000001" w:space="0" w:sz="12" w:val="double"/>
          <w:bottom w:color="000001" w:space="0" w:sz="12" w:val="double"/>
          <w:right w:color="000001" w:space="0" w:sz="12" w:val="double"/>
        </w:pBdr>
        <w:spacing w:after="120" w:before="120"/>
      </w:pPr>
      <w:r>
        <w:rPr>
          <w:rFonts w:eastAsia="Batang"/>
          <w:iCs/>
          <w:sz w:val="28"/>
          <w:u w:val="single"/>
        </w:rPr>
      </w:r>
    </w:p>
    <w:p>
      <w:pPr>
        <w:pStyle w:val="style0"/>
        <w:pBdr>
          <w:top w:color="000001" w:space="0" w:sz="12" w:val="double"/>
          <w:left w:color="000001" w:space="0" w:sz="12" w:val="double"/>
          <w:bottom w:color="000001" w:space="0" w:sz="12" w:val="double"/>
          <w:right w:color="000001" w:space="0" w:sz="12" w:val="double"/>
        </w:pBdr>
        <w:spacing w:after="120" w:before="120"/>
      </w:pPr>
      <w:r>
        <w:rPr>
          <w:rFonts w:eastAsia="Batang"/>
          <w:iCs/>
          <w:sz w:val="28"/>
          <w:u w:val="single"/>
        </w:rPr>
        <w:t>CUATRIMESTRE</w:t>
      </w:r>
      <w:r>
        <w:rPr>
          <w:rFonts w:eastAsia="Batang"/>
          <w:iCs/>
          <w:sz w:val="28"/>
        </w:rPr>
        <w:t>:</w:t>
      </w:r>
      <w:r>
        <w:rPr>
          <w:iCs/>
          <w:sz w:val="28"/>
        </w:rPr>
        <w:t xml:space="preserve"> Primero </w:t>
      </w:r>
    </w:p>
    <w:p>
      <w:pPr>
        <w:pStyle w:val="style0"/>
        <w:pBdr>
          <w:top w:color="000001" w:space="0" w:sz="12" w:val="double"/>
          <w:left w:color="000001" w:space="0" w:sz="12" w:val="double"/>
          <w:bottom w:color="000001" w:space="0" w:sz="12" w:val="double"/>
          <w:right w:color="000001" w:space="0" w:sz="12" w:val="double"/>
        </w:pBdr>
        <w:spacing w:after="120" w:before="120"/>
      </w:pPr>
      <w:r>
        <w:rPr>
          <w:rFonts w:eastAsia="Batang"/>
          <w:iCs/>
          <w:sz w:val="28"/>
          <w:u w:val="single"/>
        </w:rPr>
      </w:r>
    </w:p>
    <w:p>
      <w:pPr>
        <w:pStyle w:val="style0"/>
        <w:pBdr>
          <w:top w:color="000001" w:space="0" w:sz="12" w:val="double"/>
          <w:left w:color="000001" w:space="0" w:sz="12" w:val="double"/>
          <w:bottom w:color="000001" w:space="0" w:sz="12" w:val="double"/>
          <w:right w:color="000001" w:space="0" w:sz="12" w:val="double"/>
        </w:pBdr>
        <w:spacing w:after="120" w:before="120"/>
      </w:pPr>
      <w:r>
        <w:rPr>
          <w:rFonts w:eastAsia="Batang"/>
          <w:iCs/>
          <w:sz w:val="28"/>
          <w:u w:val="single"/>
        </w:rPr>
        <w:t>AÑO</w:t>
      </w:r>
      <w:r>
        <w:rPr>
          <w:rFonts w:eastAsia="Batang"/>
          <w:iCs/>
          <w:sz w:val="28"/>
        </w:rPr>
        <w:t>:</w:t>
      </w:r>
      <w:r>
        <w:rPr>
          <w:iCs/>
          <w:sz w:val="28"/>
        </w:rPr>
        <w:t xml:space="preserve"> 2018</w:t>
      </w:r>
    </w:p>
    <w:p>
      <w:pPr>
        <w:pStyle w:val="style0"/>
        <w:pBdr>
          <w:top w:color="000001" w:space="0" w:sz="12" w:val="double"/>
          <w:left w:color="000001" w:space="0" w:sz="12" w:val="double"/>
          <w:bottom w:color="000001" w:space="0" w:sz="12" w:val="double"/>
          <w:right w:color="000001" w:space="0" w:sz="12" w:val="double"/>
        </w:pBdr>
        <w:spacing w:after="120" w:before="120"/>
      </w:pPr>
      <w:r>
        <w:rPr>
          <w:rFonts w:eastAsia="Batang"/>
          <w:iCs/>
          <w:sz w:val="28"/>
          <w:u w:val="single"/>
        </w:rPr>
      </w:r>
    </w:p>
    <w:p>
      <w:pPr>
        <w:pStyle w:val="style0"/>
        <w:pBdr>
          <w:top w:color="000001" w:space="0" w:sz="12" w:val="double"/>
          <w:left w:color="000001" w:space="0" w:sz="12" w:val="double"/>
          <w:bottom w:color="000001" w:space="0" w:sz="12" w:val="double"/>
          <w:right w:color="000001" w:space="0" w:sz="12" w:val="double"/>
        </w:pBdr>
        <w:spacing w:after="120" w:before="120"/>
      </w:pPr>
      <w:r>
        <w:rPr>
          <w:rFonts w:eastAsia="Batang"/>
          <w:iCs/>
          <w:sz w:val="28"/>
          <w:u w:val="single"/>
        </w:rPr>
        <w:t>PROGRAMA</w:t>
      </w:r>
      <w:r>
        <w:rPr>
          <w:iCs/>
          <w:sz w:val="28"/>
          <w:u w:val="single"/>
        </w:rPr>
        <w:t xml:space="preserve"> Nº</w:t>
      </w:r>
      <w:r>
        <w:rPr>
          <w:rFonts w:eastAsia="Batang"/>
          <w:iCs/>
          <w:sz w:val="28"/>
        </w:rPr>
        <w:t>:</w:t>
      </w:r>
      <w:r>
        <w:rPr>
          <w:iCs/>
          <w:sz w:val="28"/>
        </w:rPr>
        <w:t xml:space="preserve"> </w:t>
      </w:r>
    </w:p>
    <w:p>
      <w:pPr>
        <w:pStyle w:val="style0"/>
        <w:pBdr>
          <w:top w:color="000001" w:space="0" w:sz="12" w:val="double"/>
          <w:left w:color="000001" w:space="0" w:sz="12" w:val="double"/>
          <w:bottom w:color="000001" w:space="0" w:sz="12" w:val="double"/>
          <w:right w:color="000001" w:space="0" w:sz="12" w:val="double"/>
        </w:pBdr>
        <w:spacing w:after="120" w:before="120"/>
      </w:pPr>
      <w:r>
        <w:rPr>
          <w:i/>
          <w:iCs/>
          <w:sz w:val="28"/>
        </w:rPr>
      </w:r>
    </w:p>
    <w:p>
      <w:pPr>
        <w:pStyle w:val="style0"/>
        <w:spacing w:after="120" w:before="120"/>
        <w:jc w:val="both"/>
      </w:pPr>
      <w:r>
        <w:rPr>
          <w:b/>
          <w:sz w:val="28"/>
        </w:rPr>
      </w:r>
    </w:p>
    <w:p>
      <w:pPr>
        <w:pStyle w:val="style0"/>
        <w:spacing w:after="120" w:before="120"/>
      </w:pPr>
      <w:r>
        <w:rPr>
          <w:bCs/>
          <w:sz w:val="28"/>
        </w:rPr>
      </w:r>
    </w:p>
    <w:p>
      <w:pPr>
        <w:pStyle w:val="style0"/>
        <w:pageBreakBefore/>
        <w:spacing w:after="120" w:before="120"/>
      </w:pPr>
      <w:r>
        <w:rPr>
          <w:bCs/>
        </w:rPr>
        <w:t>UNIVERSIDAD DE BUENOS AIRES</w:t>
      </w:r>
    </w:p>
    <w:p>
      <w:pPr>
        <w:pStyle w:val="style40"/>
        <w:shd w:fill="FFFFFF" w:val="clear"/>
        <w:spacing w:after="120" w:before="120"/>
        <w:jc w:val="both"/>
        <w:textAlignment w:val="baseline"/>
      </w:pPr>
      <w:r>
        <w:rPr>
          <w:bCs/>
        </w:rPr>
        <w:t>FACULTAD DE FILOSOFÍA Y LETRAS</w:t>
      </w:r>
    </w:p>
    <w:p>
      <w:pPr>
        <w:pStyle w:val="style40"/>
        <w:shd w:fill="FFFFFF" w:val="clear"/>
        <w:spacing w:after="120" w:before="120"/>
        <w:jc w:val="both"/>
        <w:textAlignment w:val="baseline"/>
      </w:pPr>
      <w:r>
        <w:rPr>
          <w:bCs/>
        </w:rPr>
        <w:t xml:space="preserve">DEPARTAMENTO DE ANTROPOLOGIA  </w:t>
      </w:r>
    </w:p>
    <w:p>
      <w:pPr>
        <w:pStyle w:val="style0"/>
        <w:spacing w:after="120" w:before="120"/>
      </w:pPr>
      <w:r>
        <w:rPr>
          <w:b/>
        </w:rPr>
      </w:r>
    </w:p>
    <w:p>
      <w:pPr>
        <w:pStyle w:val="style0"/>
        <w:spacing w:after="120" w:before="120"/>
      </w:pPr>
      <w:r>
        <w:rPr>
          <w:b/>
        </w:rPr>
        <w:t xml:space="preserve">SEMINARIO: </w:t>
      </w:r>
      <w:r>
        <w:rPr/>
        <w:t>LA TRANSMISION CULTURAL EN LOS MUSEOS DE CIENCIAS SOCIALES: LAS EXPOSICIONES</w:t>
      </w:r>
    </w:p>
    <w:p>
      <w:pPr>
        <w:pStyle w:val="style0"/>
        <w:spacing w:after="120" w:before="120"/>
        <w:jc w:val="both"/>
      </w:pPr>
      <w:r>
        <w:rPr>
          <w:rFonts w:eastAsia="MS Mincho"/>
          <w:b/>
          <w:bCs/>
        </w:rPr>
        <w:t xml:space="preserve">PROFESOR: </w:t>
      </w:r>
      <w:r>
        <w:rPr>
          <w:rFonts w:eastAsia="MS Mincho"/>
          <w:bCs/>
        </w:rPr>
        <w:t>Lic. Silvia L. Calvo</w:t>
      </w:r>
      <w:r>
        <w:rPr>
          <w:rStyle w:val="style32"/>
        </w:rPr>
        <w:footnoteReference w:id="2"/>
      </w:r>
      <w:r>
        <w:rPr>
          <w:rFonts w:eastAsia="MS Mincho"/>
          <w:bCs/>
        </w:rPr>
        <w:t xml:space="preserve">. </w:t>
      </w:r>
    </w:p>
    <w:p>
      <w:pPr>
        <w:pStyle w:val="style0"/>
        <w:spacing w:after="120" w:before="120"/>
        <w:jc w:val="both"/>
      </w:pPr>
      <w:r>
        <w:rPr>
          <w:b/>
        </w:rPr>
        <w:t>Equipo docente</w:t>
      </w:r>
      <w:r>
        <w:rPr/>
        <w:t>: Prof. Carlos Molina</w:t>
      </w:r>
      <w:r>
        <w:rPr>
          <w:rStyle w:val="style32"/>
        </w:rPr>
        <w:footnoteReference w:id="3"/>
      </w:r>
      <w:r>
        <w:rPr/>
        <w:t xml:space="preserve">; </w:t>
      </w:r>
      <w:r>
        <w:rPr>
          <w:rFonts w:eastAsia="MS Mincho"/>
          <w:bCs/>
        </w:rPr>
        <w:t>Prof. Mariana Paganini</w:t>
      </w:r>
      <w:r>
        <w:rPr>
          <w:rStyle w:val="style17"/>
          <w:rFonts w:eastAsia="MS Mincho"/>
          <w:bCs/>
        </w:rPr>
        <w:t xml:space="preserve"> </w:t>
      </w:r>
      <w:r>
        <w:rPr>
          <w:rStyle w:val="style32"/>
        </w:rPr>
        <w:footnoteReference w:id="4"/>
      </w:r>
      <w:r>
        <w:rPr>
          <w:rFonts w:eastAsia="MS Mincho"/>
          <w:bCs/>
        </w:rPr>
        <w:t xml:space="preserve">. </w:t>
      </w:r>
    </w:p>
    <w:p>
      <w:pPr>
        <w:pStyle w:val="style43"/>
        <w:spacing w:after="120" w:before="120" w:line="100" w:lineRule="atLeast"/>
        <w:jc w:val="both"/>
      </w:pPr>
      <w:r>
        <w:rPr>
          <w:rFonts w:eastAsia="MS Mincho"/>
          <w:b/>
          <w:bCs/>
        </w:rPr>
      </w:r>
    </w:p>
    <w:p>
      <w:pPr>
        <w:pStyle w:val="style43"/>
        <w:spacing w:after="120" w:before="120" w:line="100" w:lineRule="atLeast"/>
        <w:jc w:val="both"/>
      </w:pPr>
      <w:r>
        <w:rPr>
          <w:rFonts w:eastAsia="MS Mincho"/>
          <w:b/>
          <w:bCs/>
        </w:rPr>
        <w:t>1º CUATRIMESTRE 2018</w:t>
      </w:r>
    </w:p>
    <w:p>
      <w:pPr>
        <w:pStyle w:val="style0"/>
        <w:spacing w:after="120" w:before="120"/>
        <w:jc w:val="both"/>
      </w:pPr>
      <w:r>
        <w:rPr>
          <w:b/>
          <w:bCs/>
        </w:rPr>
      </w:r>
    </w:p>
    <w:p>
      <w:pPr>
        <w:pStyle w:val="style0"/>
        <w:spacing w:after="120" w:before="120"/>
        <w:jc w:val="both"/>
      </w:pPr>
      <w:r>
        <w:rPr>
          <w:b/>
          <w:bCs/>
        </w:rPr>
      </w:r>
    </w:p>
    <w:p>
      <w:pPr>
        <w:pStyle w:val="style0"/>
        <w:spacing w:after="120" w:before="120"/>
        <w:jc w:val="both"/>
      </w:pPr>
      <w:r>
        <w:rPr>
          <w:b/>
          <w:bCs/>
        </w:rPr>
        <w:t xml:space="preserve">PROGRAMA Nº </w:t>
      </w:r>
    </w:p>
    <w:p>
      <w:pPr>
        <w:pStyle w:val="style0"/>
        <w:spacing w:after="120" w:before="120"/>
        <w:jc w:val="both"/>
      </w:pPr>
      <w:r>
        <w:rPr/>
      </w:r>
    </w:p>
    <w:p>
      <w:pPr>
        <w:pStyle w:val="style0"/>
        <w:spacing w:after="120" w:before="120"/>
      </w:pPr>
      <w:r>
        <w:rPr>
          <w:b/>
        </w:rPr>
        <w:t>1. FUNDAMENTACION TEÓRICA Y OBJETIVOS</w:t>
      </w:r>
    </w:p>
    <w:p>
      <w:pPr>
        <w:pStyle w:val="style0"/>
        <w:spacing w:line="360" w:lineRule="auto"/>
        <w:jc w:val="both"/>
      </w:pPr>
      <w:r>
        <w:rPr>
          <w:szCs w:val="28"/>
        </w:rPr>
        <w:t xml:space="preserve">Son diversas las maneras de nombrar las acciones que realizan los museos destinadas a que los visitantes se apropien, a partir de la transmisión de un saber, de un patrimonio cultural que les pertenece por derecho. </w:t>
      </w:r>
    </w:p>
    <w:p>
      <w:pPr>
        <w:pStyle w:val="style0"/>
        <w:spacing w:line="360" w:lineRule="auto"/>
        <w:jc w:val="both"/>
      </w:pPr>
      <w:r>
        <w:rPr>
          <w:szCs w:val="28"/>
        </w:rPr>
        <w:t>Desde la perspectiva de este seminario se trata de prácticas vinculadas a su función de transmisión cultural, entendida como la entrega de un legado que requiere de la apropiación y resignificación por parte de quien lo recibe.</w:t>
      </w:r>
    </w:p>
    <w:p>
      <w:pPr>
        <w:pStyle w:val="style0"/>
        <w:spacing w:line="360" w:lineRule="auto"/>
        <w:jc w:val="both"/>
      </w:pPr>
      <w:r>
        <w:rPr>
          <w:szCs w:val="28"/>
        </w:rPr>
        <w:t xml:space="preserve">Los museos son concebidos hoy como “agencias de socialización”, en tanto ofrecen a sus visitantes una “experiencia cultural” que busca acercar, movilizar o establecer puentes con el patrimonio que custodian; y cuyos efectos pueden ser educativos sin habérselo propuesto explícitamente (Desvallées y Mairesse, 2010). </w:t>
      </w:r>
    </w:p>
    <w:p>
      <w:pPr>
        <w:pStyle w:val="style0"/>
        <w:spacing w:line="360" w:lineRule="auto"/>
        <w:jc w:val="both"/>
      </w:pPr>
      <w:r>
        <w:rPr>
          <w:szCs w:val="28"/>
        </w:rPr>
        <w:t>En ese sentido la educación es más una dimensión institucional que una función, en tanto este término, en el contexto de los museos, se utiliza para caracterizar situaciones que tienen una manifiesta intencionalidad de aprendizaje, distinguiéndose de aquellas que no la tienen (Desvallées y Mairesse, 2010).</w:t>
      </w:r>
    </w:p>
    <w:p>
      <w:pPr>
        <w:pStyle w:val="style0"/>
        <w:spacing w:line="360" w:lineRule="auto"/>
        <w:jc w:val="both"/>
      </w:pPr>
      <w:r>
        <w:rPr>
          <w:szCs w:val="28"/>
        </w:rPr>
        <w:t xml:space="preserve">La experiencia de los visitantes suele centrarse en "el goce singular de las obras", pero esto requiere de una percepción informada, una mirada ejercitada, que solo poseen aquellos que están familiarizados con la institución. Una reflexión sobre el museo desde la perspectiva de sus públicos reales y potenciales,  compromete a la institución en una transmisión cultural que reconoce a aquellos visitantes que no esperan ser educados (Galard, 1992) así como a aquellos que desean o necesitan medios para ver y comprender mejor. </w:t>
      </w:r>
    </w:p>
    <w:p>
      <w:pPr>
        <w:pStyle w:val="style0"/>
        <w:spacing w:line="360" w:lineRule="auto"/>
        <w:jc w:val="both"/>
      </w:pPr>
      <w:r>
        <w:rPr>
          <w:szCs w:val="28"/>
        </w:rPr>
        <w:t>Es allí donde los marcos conceptuales del campo educativo adquieren relevancia: para pensar las prácticas museográficas vinculadas a la transmisión cultural. Se trata de una función compleja por la cantidad de ámbitos y modalidades en las que está involucrada (la recepción, las exposiciones, los programas públicos educativos y culturales, las publicaciones); por la diversidad de profesionales que participan en su concreción y por la complejidad del trabajo en equipo e interdisciplinario que ella supone. En ese sentido, en este seminario se procurará dar mayor precisión a un panorama conceptual cuyas concepciones y supuestos inciden fuertemente en las prácticas museográficas, poniendo el acento en las exhibiciones, modalidad de transmisión que caracteriza a los museos</w:t>
      </w:r>
    </w:p>
    <w:p>
      <w:pPr>
        <w:pStyle w:val="style0"/>
        <w:spacing w:after="120" w:before="120"/>
        <w:jc w:val="both"/>
      </w:pPr>
      <w:r>
        <w:rPr/>
      </w:r>
    </w:p>
    <w:p>
      <w:pPr>
        <w:pStyle w:val="style0"/>
        <w:spacing w:after="120" w:before="120"/>
        <w:jc w:val="both"/>
      </w:pPr>
      <w:r>
        <w:rPr>
          <w:b/>
        </w:rPr>
        <w:t>Dentro de este marco nuestros objetivos/ propósitos son:</w:t>
      </w:r>
    </w:p>
    <w:p>
      <w:pPr>
        <w:pStyle w:val="style41"/>
        <w:numPr>
          <w:ilvl w:val="0"/>
          <w:numId w:val="1"/>
        </w:numPr>
        <w:spacing w:after="120" w:before="120"/>
        <w:ind w:hanging="357" w:left="357" w:right="0"/>
        <w:jc w:val="both"/>
      </w:pPr>
      <w:r>
        <w:rPr/>
        <w:t>Dar a conocer los rasgos que caracterizan a los museos como espacios de transmisión cultural</w:t>
      </w:r>
    </w:p>
    <w:p>
      <w:pPr>
        <w:pStyle w:val="style44"/>
        <w:numPr>
          <w:ilvl w:val="0"/>
          <w:numId w:val="1"/>
        </w:numPr>
        <w:spacing w:after="120" w:before="120" w:line="100" w:lineRule="atLeast"/>
        <w:ind w:hanging="357" w:left="357" w:right="0"/>
        <w:jc w:val="both"/>
      </w:pPr>
      <w:r>
        <w:rPr/>
        <w:t>Revisar las concepciones y supuestos que fundamentan las practicas museográficas vinculadas a la transmisión cultural</w:t>
      </w:r>
    </w:p>
    <w:p>
      <w:pPr>
        <w:pStyle w:val="style44"/>
        <w:numPr>
          <w:ilvl w:val="0"/>
          <w:numId w:val="1"/>
        </w:numPr>
        <w:spacing w:after="120" w:before="120" w:line="100" w:lineRule="atLeast"/>
        <w:ind w:hanging="357" w:left="357" w:right="0"/>
        <w:jc w:val="both"/>
      </w:pPr>
      <w:r>
        <w:rPr/>
        <w:t>Discutir y reflexionar sobre la experiencia de los visitantes, en el marco de la sociedad contemporánea.</w:t>
      </w:r>
    </w:p>
    <w:p>
      <w:pPr>
        <w:pStyle w:val="style41"/>
        <w:numPr>
          <w:ilvl w:val="0"/>
          <w:numId w:val="1"/>
        </w:numPr>
        <w:spacing w:after="120" w:before="120"/>
        <w:ind w:hanging="357" w:left="357" w:right="0"/>
      </w:pPr>
      <w:r>
        <w:rPr/>
        <w:t xml:space="preserve">Iniciarse en el análisis crítico del discurso museográfico de los museos de ciencias sociales. </w:t>
      </w:r>
    </w:p>
    <w:p>
      <w:pPr>
        <w:pStyle w:val="style0"/>
        <w:spacing w:after="120" w:before="120"/>
      </w:pPr>
      <w:r>
        <w:rPr/>
      </w:r>
    </w:p>
    <w:p>
      <w:pPr>
        <w:pStyle w:val="style0"/>
        <w:spacing w:after="120" w:before="120"/>
      </w:pPr>
      <w:r>
        <w:rPr>
          <w:b/>
        </w:rPr>
      </w:r>
    </w:p>
    <w:p>
      <w:pPr>
        <w:pStyle w:val="style0"/>
        <w:pageBreakBefore/>
        <w:spacing w:after="120" w:before="120"/>
      </w:pPr>
      <w:r>
        <w:rPr>
          <w:b/>
        </w:rPr>
        <w:t xml:space="preserve">2. UNIDADES TEMATICAS </w:t>
      </w:r>
    </w:p>
    <w:p>
      <w:pPr>
        <w:pStyle w:val="style0"/>
        <w:spacing w:after="120" w:before="120"/>
      </w:pPr>
      <w:r>
        <w:rPr>
          <w:b/>
        </w:rPr>
      </w:r>
    </w:p>
    <w:p>
      <w:pPr>
        <w:pStyle w:val="style0"/>
        <w:spacing w:after="120" w:before="120"/>
      </w:pPr>
      <w:r>
        <w:rPr>
          <w:b/>
        </w:rPr>
        <w:t>UNIDAD 1: Que es un museo</w:t>
      </w:r>
    </w:p>
    <w:p>
      <w:pPr>
        <w:pStyle w:val="style0"/>
        <w:spacing w:after="120" w:before="120"/>
      </w:pPr>
      <w:r>
        <w:rPr/>
        <w:t>Concepciones de museos: museo de objetos o de ideas. La nueva museología. El museo visible y el museo oculto: la articulación de sus diferentes funciones.</w:t>
      </w:r>
      <w:r>
        <w:rPr>
          <w:lang w:val="es-MX"/>
        </w:rPr>
        <w:t xml:space="preserve"> Los géneros de museos: museos antropológicos e históricos. </w:t>
      </w:r>
      <w:r>
        <w:rPr/>
        <w:t>Museología y museografía</w:t>
      </w:r>
    </w:p>
    <w:p>
      <w:pPr>
        <w:pStyle w:val="style0"/>
        <w:spacing w:after="120" w:before="120"/>
      </w:pPr>
      <w:r>
        <w:rPr>
          <w:b/>
          <w:bCs/>
        </w:rPr>
        <w:t>Bibliografía obligatoria</w:t>
      </w:r>
      <w:r>
        <w:rPr>
          <w:bCs/>
        </w:rPr>
        <w:t xml:space="preserve">: </w:t>
      </w:r>
    </w:p>
    <w:p>
      <w:pPr>
        <w:pStyle w:val="style0"/>
        <w:spacing w:after="120" w:before="120"/>
        <w:jc w:val="both"/>
      </w:pPr>
      <w:r>
        <w:rPr/>
        <w:t>Di Meglio Gabriel Wolf, el lobo. Reflexiones y propuestas sobre la relación entre producción académica y divulgación histórica [Trabajo publicado en Nuevo Topo. Revista de historia y pensamiento crítico, nº 8, 2011].</w:t>
      </w:r>
    </w:p>
    <w:p>
      <w:pPr>
        <w:pStyle w:val="style42"/>
        <w:tabs>
          <w:tab w:leader="none" w:pos="720" w:val="left"/>
        </w:tabs>
        <w:spacing w:after="120" w:before="120"/>
        <w:jc w:val="both"/>
      </w:pPr>
      <w:r>
        <w:rPr>
          <w:sz w:val="24"/>
          <w:szCs w:val="24"/>
        </w:rPr>
        <w:t xml:space="preserve">Dujovne, Marta (1995). Entre musas y musarañas. </w:t>
      </w:r>
      <w:r>
        <w:rPr>
          <w:sz w:val="24"/>
          <w:szCs w:val="24"/>
          <w:lang w:val="es-ES"/>
        </w:rPr>
        <w:t xml:space="preserve">Buenos Aires, </w:t>
      </w:r>
      <w:r>
        <w:rPr>
          <w:sz w:val="24"/>
          <w:szCs w:val="24"/>
        </w:rPr>
        <w:t>Fondo de Cultura Económica</w:t>
      </w:r>
      <w:r>
        <w:rPr>
          <w:sz w:val="24"/>
          <w:szCs w:val="24"/>
          <w:lang w:val="es-ES"/>
        </w:rPr>
        <w:t xml:space="preserve"> </w:t>
      </w:r>
    </w:p>
    <w:p>
      <w:pPr>
        <w:pStyle w:val="style0"/>
        <w:spacing w:after="120" w:before="120"/>
      </w:pPr>
      <w:r>
        <w:rPr/>
        <w:t xml:space="preserve">Gutiérrez Estévez, Manuel. 1998. </w:t>
      </w:r>
      <w:r>
        <w:rPr>
          <w:i/>
          <w:iCs/>
        </w:rPr>
        <w:t>Diálogo intercultural en el Museo: silencios, malentendidos y encasillados</w:t>
      </w:r>
      <w:r>
        <w:rPr/>
        <w:t xml:space="preserve"> en </w:t>
      </w:r>
      <w:r>
        <w:rPr>
          <w:b/>
          <w:bCs/>
        </w:rPr>
        <w:t>Anales</w:t>
      </w:r>
      <w:r>
        <w:rPr/>
        <w:t xml:space="preserve"> 6 Madrid, Museo de América</w:t>
      </w:r>
    </w:p>
    <w:p>
      <w:pPr>
        <w:pStyle w:val="style0"/>
        <w:spacing w:after="120" w:before="120"/>
      </w:pPr>
      <w:r>
        <w:rPr/>
        <w:t>Hernández Hernández, Francisca. 1994. Manual de museología. Editorial Síntesis, Madrid (selección de textos)</w:t>
      </w:r>
    </w:p>
    <w:p>
      <w:pPr>
        <w:pStyle w:val="style0"/>
        <w:spacing w:after="120" w:before="120"/>
      </w:pPr>
      <w:r>
        <w:rPr>
          <w:rStyle w:val="style27"/>
          <w:rFonts w:cs="Times New Roman"/>
          <w:lang w:val="en-US"/>
        </w:rPr>
        <w:t xml:space="preserve">Heumann Gurian, Elaine (2002), “Choosing Among the Options: An Opinion about Museum Definitions.” </w:t>
      </w:r>
      <w:r>
        <w:rPr>
          <w:rStyle w:val="style27"/>
          <w:rFonts w:cs="Times New Roman"/>
          <w:i/>
          <w:iCs/>
        </w:rPr>
        <w:t xml:space="preserve">Curator, the Museum Journal </w:t>
      </w:r>
      <w:r>
        <w:rPr>
          <w:rStyle w:val="style27"/>
          <w:rFonts w:cs="Times New Roman"/>
        </w:rPr>
        <w:t xml:space="preserve">45 (2): 75-88. </w:t>
      </w:r>
      <w:r>
        <w:rPr/>
        <w:t>Cómo elegir entre las opciones: una opinión sobre las definiciones de los museos</w:t>
      </w:r>
    </w:p>
    <w:p>
      <w:pPr>
        <w:pStyle w:val="style0"/>
        <w:spacing w:after="120" w:before="120"/>
      </w:pPr>
      <w:r>
        <w:rPr>
          <w:lang w:val="es-ES"/>
        </w:rPr>
        <w:t xml:space="preserve">Huyssen, Andreas. 2002. </w:t>
      </w:r>
      <w:r>
        <w:rPr/>
        <w:t xml:space="preserve">En Busca del Futuro Perdido. Cultura y Memoria en Tiempos de Globalización. México, Fondo de Cultura Económica.  </w:t>
      </w:r>
    </w:p>
    <w:p>
      <w:pPr>
        <w:pStyle w:val="style0"/>
        <w:spacing w:after="120" w:before="120"/>
      </w:pPr>
      <w:r>
        <w:rPr/>
        <w:t xml:space="preserve">Jiménez Ramírez, Mauricio Benjamín y Mariana Sainz Navarro. 2011.   ¿Quién hace al patrimonio? Su valoración y uso desde la perspectiva del campo de poder. </w:t>
      </w:r>
      <w:r>
        <w:rPr>
          <w:rStyle w:val="style25"/>
          <w:rFonts w:cs="Times New Roman"/>
          <w:sz w:val="24"/>
          <w:szCs w:val="24"/>
        </w:rPr>
        <w:t>Intervención Año 2. Núm. 3 Enero-junio 2011</w:t>
      </w:r>
    </w:p>
    <w:p>
      <w:pPr>
        <w:pStyle w:val="style0"/>
        <w:spacing w:after="120" w:before="120"/>
      </w:pPr>
      <w:r>
        <w:rPr>
          <w:rFonts w:eastAsia="Scala"/>
          <w:lang w:eastAsia="en-US" w:val="es-AR"/>
        </w:rPr>
        <w:t xml:space="preserve">Santacana Mestre Joan. 2009. </w:t>
      </w:r>
      <w:r>
        <w:rPr>
          <w:rFonts w:cs="Calibri"/>
          <w:lang w:eastAsia="en-US" w:val="es-AR"/>
        </w:rPr>
        <w:t xml:space="preserve">Reflexiones desde el museo en torno a la historia. </w:t>
      </w:r>
      <w:r>
        <w:rPr>
          <w:rFonts w:cs="Calibri"/>
          <w:lang w:eastAsia="en-US" w:val="pt-BR"/>
        </w:rPr>
        <w:t>Revista “Museo y territorio”, N°</w:t>
      </w:r>
      <w:r>
        <w:rPr>
          <w:rFonts w:eastAsia="Scala"/>
          <w:lang w:eastAsia="en-US" w:val="pt-BR"/>
        </w:rPr>
        <w:t>2-3, 2009-2010, pp</w:t>
      </w:r>
      <w:r>
        <w:rPr>
          <w:rFonts w:cs="Calibri"/>
          <w:lang w:eastAsia="en-US" w:val="pt-BR"/>
        </w:rPr>
        <w:t xml:space="preserve">. </w:t>
      </w:r>
      <w:r>
        <w:rPr>
          <w:rFonts w:eastAsia="Scala"/>
          <w:lang w:eastAsia="en-US" w:val="pt-BR"/>
        </w:rPr>
        <w:t xml:space="preserve">73-86 </w:t>
      </w:r>
    </w:p>
    <w:p>
      <w:pPr>
        <w:pStyle w:val="style0"/>
        <w:spacing w:after="120" w:before="120"/>
      </w:pPr>
      <w:r>
        <w:rPr>
          <w:b/>
          <w:lang w:val="es-AR"/>
        </w:rPr>
        <w:t xml:space="preserve">Bibliografía ampliatoria  </w:t>
      </w:r>
    </w:p>
    <w:p>
      <w:pPr>
        <w:pStyle w:val="style0"/>
        <w:spacing w:after="120" w:before="120"/>
      </w:pPr>
      <w:r>
        <w:rPr>
          <w:bCs/>
          <w:color w:val="000000"/>
        </w:rPr>
        <w:t xml:space="preserve">DeCarli Georgina. 2015. ESTRATEGIAS DE INTEGRACIÓN MUSEO – PATRIMONIO LOCAL </w:t>
      </w:r>
    </w:p>
    <w:p>
      <w:pPr>
        <w:pStyle w:val="style48"/>
        <w:spacing w:after="120" w:before="120"/>
      </w:pPr>
      <w:r>
        <w:rPr>
          <w:rFonts w:ascii="Times New Roman" w:cs="Times New Roman" w:hAnsi="Times New Roman"/>
          <w:color w:val="00000A"/>
        </w:rPr>
        <w:t xml:space="preserve">Devallées, André y Francois Mairesse (dir.): </w:t>
      </w:r>
      <w:r>
        <w:rPr>
          <w:rFonts w:ascii="Times New Roman" w:cs="Times New Roman" w:hAnsi="Times New Roman"/>
          <w:i/>
          <w:iCs/>
          <w:color w:val="00000A"/>
        </w:rPr>
        <w:t>Conceptos Claves de Museología</w:t>
      </w:r>
      <w:r>
        <w:rPr>
          <w:rFonts w:ascii="Times New Roman" w:cs="Times New Roman" w:hAnsi="Times New Roman"/>
          <w:color w:val="00000A"/>
        </w:rPr>
        <w:t xml:space="preserve">. Armand Colin 2010. </w:t>
      </w:r>
      <w:hyperlink r:id="rId3">
        <w:r>
          <w:rPr>
            <w:rStyle w:val="style18"/>
            <w:rFonts w:ascii="Times New Roman" w:cs="Times New Roman" w:hAnsi="Times New Roman"/>
          </w:rPr>
          <w:t>http://icom.museum/fileadmin/user_upload/pdf/Key_Concepts_of_Museology/Museologie_Espagnol_BD.pdf</w:t>
        </w:r>
      </w:hyperlink>
    </w:p>
    <w:p>
      <w:pPr>
        <w:pStyle w:val="style0"/>
        <w:spacing w:after="120" w:before="120"/>
      </w:pPr>
      <w:r>
        <w:rPr>
          <w:lang w:val="es-ES"/>
        </w:rPr>
        <w:t xml:space="preserve">Fernández, Luis Alonso. 1999. </w:t>
      </w:r>
      <w:r>
        <w:rPr>
          <w:i/>
          <w:iCs/>
          <w:lang w:val="es-ES"/>
        </w:rPr>
        <w:t>Introducción a la nueva museología</w:t>
      </w:r>
      <w:r>
        <w:rPr>
          <w:lang w:val="es-ES"/>
        </w:rPr>
        <w:t>. Alianza, Madrid.</w:t>
      </w:r>
    </w:p>
    <w:p>
      <w:pPr>
        <w:pStyle w:val="style0"/>
        <w:spacing w:after="120" w:before="120"/>
      </w:pPr>
      <w:r>
        <w:rPr>
          <w:iCs/>
        </w:rPr>
        <w:t xml:space="preserve">Hartog, François. 2005. </w:t>
      </w:r>
      <w:r>
        <w:rPr>
          <w:bCs/>
        </w:rPr>
        <w:t xml:space="preserve">Tiempo y Patrimonio DIVERSIDAD CULTURAL Y PATRIMONIO Museum Internacional </w:t>
      </w:r>
      <w:r>
        <w:rPr/>
        <w:t>Vol LVII, n°3 / 227, septiembre de 200</w:t>
      </w:r>
      <w:r>
        <w:rPr>
          <w:rFonts w:eastAsia="TimesNewRomanPSMT"/>
        </w:rPr>
        <w:t>5</w:t>
      </w:r>
    </w:p>
    <w:p>
      <w:pPr>
        <w:pStyle w:val="style0"/>
        <w:spacing w:after="120" w:before="120"/>
      </w:pPr>
      <w:r>
        <w:rPr/>
        <w:t>Martín-Barbero, Jesús. 1984-2012. “De la Comunicación a la Cultura: perder el "objeto" para ganar el proceso”. Signo y Pensamiento, vol. XXX, núm. 60, enero-junio, 2012, pp. 76-84 Pontificia Universidad Javeriana Bogotá, Colombia</w:t>
      </w:r>
    </w:p>
    <w:p>
      <w:pPr>
        <w:pStyle w:val="style0"/>
        <w:spacing w:after="120" w:before="120"/>
      </w:pPr>
      <w:r>
        <w:rPr>
          <w:bCs/>
        </w:rPr>
        <w:t>Morales Moreno, Luis Gerardo. 1996 ¿Qué es un museo</w:t>
      </w:r>
      <w:r>
        <w:rPr/>
        <w:t xml:space="preserve">? en Revista Quicuilco, V3, N°7, Mayo-Agosto, 1996, México. </w:t>
      </w:r>
    </w:p>
    <w:p>
      <w:pPr>
        <w:pStyle w:val="style0"/>
        <w:spacing w:after="120" w:before="120"/>
      </w:pPr>
      <w:r>
        <w:rPr>
          <w:rFonts w:cs="Calibri"/>
          <w:lang w:eastAsia="en-US" w:val="es-AR"/>
        </w:rPr>
        <w:t>Oliveras Antoni Martín i. 2013. El concepto de museo y su ampliación epistemológica. Escuelas museológicas modernas y contemporáneas.</w:t>
      </w:r>
      <w:r>
        <w:rPr>
          <w:rFonts w:cs="Calibri"/>
          <w:lang w:eastAsia="en-US" w:val="es-ES"/>
        </w:rPr>
        <w:t xml:space="preserve"> Una visión historiográfica. </w:t>
      </w:r>
      <w:r>
        <w:rPr>
          <w:rFonts w:cs="Calibri"/>
          <w:lang w:eastAsia="en-US" w:val="es-AR"/>
        </w:rPr>
        <w:t>Vol. v, N°2, septiembre - octubre 2013</w:t>
      </w:r>
    </w:p>
    <w:p>
      <w:pPr>
        <w:pStyle w:val="style0"/>
        <w:spacing w:after="120" w:before="120"/>
      </w:pPr>
      <w:r>
        <w:rPr/>
        <w:t xml:space="preserve">Reca, María Marta. 2016. Antropología y Museos. Un dialogo contemporáneo con el patrimonio. Editorial Biblos. Buenos Aires.  </w:t>
      </w:r>
    </w:p>
    <w:p>
      <w:pPr>
        <w:pStyle w:val="style0"/>
        <w:spacing w:after="120" w:before="120"/>
        <w:jc w:val="both"/>
      </w:pPr>
      <w:r>
        <w:rPr/>
        <w:t xml:space="preserve">Yúdice, George. 2008. </w:t>
      </w:r>
      <w:r>
        <w:rPr>
          <w:i/>
        </w:rPr>
        <w:t>El recurso de la cultura. Usos de la cultura en la era global.</w:t>
      </w:r>
      <w:r>
        <w:rPr/>
        <w:t xml:space="preserve"> Gedisa, Barcelona. Cap. Cap. 1. El recurso de la cultura, pp. 23-55.</w:t>
      </w:r>
    </w:p>
    <w:p>
      <w:pPr>
        <w:pStyle w:val="style0"/>
        <w:spacing w:after="120" w:before="120"/>
        <w:jc w:val="both"/>
      </w:pPr>
      <w:r>
        <w:rPr/>
      </w:r>
    </w:p>
    <w:p>
      <w:pPr>
        <w:pStyle w:val="style0"/>
        <w:spacing w:after="120" w:before="120"/>
      </w:pPr>
      <w:r>
        <w:rPr>
          <w:b/>
        </w:rPr>
        <w:t>UNIDAD 2: L</w:t>
      </w:r>
      <w:r>
        <w:rPr>
          <w:b/>
          <w:color w:val="222222"/>
          <w:lang w:eastAsia="es-AR"/>
        </w:rPr>
        <w:t xml:space="preserve">a dimensión educativa de los museos y su función de transmisión cultural </w:t>
      </w:r>
    </w:p>
    <w:p>
      <w:pPr>
        <w:pStyle w:val="style0"/>
        <w:spacing w:after="120" w:before="120"/>
      </w:pPr>
      <w:r>
        <w:rPr/>
        <w:t xml:space="preserve">Los museos como agencia de socialización y la experiencia contemporánea del visitante. Qué hace un museo: </w:t>
      </w:r>
      <w:r>
        <w:rPr>
          <w:bCs/>
        </w:rPr>
        <w:t xml:space="preserve">difundir; divulgar; comunicar; educar; transmitir; mediar. </w:t>
      </w:r>
      <w:r>
        <w:rPr/>
        <w:t xml:space="preserve">Los problemas de la transmisión cultural: qué, a quién y cómo. La recepción. </w:t>
      </w:r>
    </w:p>
    <w:p>
      <w:pPr>
        <w:pStyle w:val="style0"/>
        <w:spacing w:after="120" w:before="120"/>
      </w:pPr>
      <w:r>
        <w:rPr>
          <w:b/>
          <w:bCs/>
          <w:lang w:val="es-AR"/>
        </w:rPr>
        <w:t>Bibliografía obligatoria</w:t>
      </w:r>
      <w:r>
        <w:rPr>
          <w:bCs/>
          <w:lang w:val="es-AR"/>
        </w:rPr>
        <w:t xml:space="preserve">: </w:t>
      </w:r>
    </w:p>
    <w:p>
      <w:pPr>
        <w:pStyle w:val="style0"/>
        <w:spacing w:after="120" w:before="120"/>
      </w:pPr>
      <w:r>
        <w:rPr>
          <w:bCs/>
        </w:rPr>
        <w:t xml:space="preserve">Calvo, S. 2017. Ordenar los legados para situar el futuro. </w:t>
      </w:r>
      <w:r>
        <w:rPr/>
        <w:t xml:space="preserve">Orientaciones para las prácticas de transmisión cultural, en </w:t>
      </w:r>
      <w:r>
        <w:rPr>
          <w:bCs/>
        </w:rPr>
        <w:t>Reca María Marta y Mirta Bialogorski (c</w:t>
      </w:r>
      <w:r>
        <w:rPr/>
        <w:t>omp). 2017. M</w:t>
      </w:r>
      <w:r>
        <w:rPr>
          <w:bCs/>
        </w:rPr>
        <w:t xml:space="preserve">useos y visitantes. Ensayos sobre estudios de público en Argentina. Consejo Internacional de Museos. </w:t>
      </w:r>
    </w:p>
    <w:p>
      <w:pPr>
        <w:pStyle w:val="style0"/>
        <w:widowControl w:val="false"/>
        <w:tabs>
          <w:tab w:leader="none" w:pos="0" w:val="left"/>
        </w:tabs>
        <w:spacing w:after="120" w:before="120"/>
      </w:pPr>
      <w:r>
        <w:rPr/>
        <w:t>Diker, Gabriela (2004) “Y el debate continúa ¿Por qué hablar de transmisión?”</w:t>
      </w:r>
      <w:r>
        <w:rPr>
          <w:spacing w:val="-3"/>
        </w:rPr>
        <w:t xml:space="preserve"> En Frigerio, G.; Diker, G. (Comps.) (2004) </w:t>
      </w:r>
      <w:r>
        <w:rPr>
          <w:bCs/>
          <w:spacing w:val="-3"/>
        </w:rPr>
        <w:t>La transmisión en las sociedades, las instituciones y los sujetos</w:t>
      </w:r>
      <w:r>
        <w:rPr>
          <w:spacing w:val="-3"/>
        </w:rPr>
        <w:t xml:space="preserve">. </w:t>
      </w:r>
      <w:r>
        <w:rPr>
          <w:spacing w:val="-3"/>
          <w:lang w:val="es-ES"/>
        </w:rPr>
        <w:t xml:space="preserve">Buenos Aires: Novedades Educativas. </w:t>
      </w:r>
    </w:p>
    <w:p>
      <w:pPr>
        <w:pStyle w:val="style0"/>
        <w:spacing w:after="120" w:before="120"/>
      </w:pPr>
      <w:r>
        <w:rPr>
          <w:lang w:val="es-ES"/>
        </w:rPr>
        <w:t>Dujovne, M y Silvia Calvo</w:t>
      </w:r>
      <w:r>
        <w:rPr/>
        <w:t xml:space="preserve">. 2004. “El museo y la visita escolar”, en </w:t>
      </w:r>
      <w:r>
        <w:rPr>
          <w:i/>
          <w:iCs/>
        </w:rPr>
        <w:t>Imagen</w:t>
      </w:r>
      <w:r>
        <w:rPr/>
        <w:t xml:space="preserve">, revista del Instituto de Historia del Arte Argentino y Latinoamericano, FFyL, UBA, Buenos Aires. pgs. 93-109. </w:t>
      </w:r>
    </w:p>
    <w:p>
      <w:pPr>
        <w:pStyle w:val="style0"/>
        <w:spacing w:after="120" w:before="120"/>
      </w:pPr>
      <w:r>
        <w:rPr>
          <w:rFonts w:eastAsia="MS Gothic"/>
          <w:lang w:eastAsia="en-US" w:val="es-AR"/>
        </w:rPr>
        <w:t xml:space="preserve">Gálard, Jean. 1990. El museo y la cuestión de la comunicación. Revista de la Escuela Nacional de Artes Plásticas, N°18. Méjico. </w:t>
      </w:r>
    </w:p>
    <w:p>
      <w:pPr>
        <w:pStyle w:val="style45"/>
        <w:shd w:fill="FFFFFF" w:val="clear"/>
        <w:spacing w:after="120" w:before="120" w:line="100" w:lineRule="atLeast"/>
        <w:ind w:hanging="0" w:left="0" w:right="0"/>
      </w:pPr>
      <w:r>
        <w:rPr>
          <w:rFonts w:ascii="Times New Roman" w:cs="Times New Roman" w:hAnsi="Times New Roman"/>
          <w:sz w:val="24"/>
          <w:szCs w:val="24"/>
        </w:rPr>
        <w:t>Hooper Greenhill, Eilean (1998). Los museos y sus visitantes. TREA, España (p. 117-136).</w:t>
      </w:r>
    </w:p>
    <w:p>
      <w:pPr>
        <w:pStyle w:val="style0"/>
        <w:spacing w:after="120" w:before="120"/>
      </w:pPr>
      <w:r>
        <w:rPr>
          <w:lang w:val="pt-BR"/>
        </w:rPr>
        <w:t xml:space="preserve">Valdés Sagüés, M. del Carmen. </w:t>
      </w:r>
      <w:r>
        <w:rPr/>
        <w:t xml:space="preserve">1999. </w:t>
      </w:r>
      <w:r>
        <w:rPr>
          <w:i/>
        </w:rPr>
        <w:t>La difusión cultural en el museo: servicios destinados al gran público</w:t>
      </w:r>
      <w:r>
        <w:rPr/>
        <w:t xml:space="preserve">. </w:t>
      </w:r>
      <w:r>
        <w:rPr>
          <w:lang w:val="pt-BR"/>
        </w:rPr>
        <w:t>TREA, España (p. 180-190)</w:t>
      </w:r>
    </w:p>
    <w:p>
      <w:pPr>
        <w:pStyle w:val="style0"/>
        <w:spacing w:after="120" w:before="120"/>
      </w:pPr>
      <w:r>
        <w:rPr>
          <w:b/>
          <w:bCs/>
          <w:lang w:val="pt-BR"/>
        </w:rPr>
        <w:t>Bibliografía ampliatoria:</w:t>
      </w:r>
    </w:p>
    <w:p>
      <w:pPr>
        <w:pStyle w:val="style0"/>
        <w:spacing w:after="120" w:before="120"/>
      </w:pPr>
      <w:r>
        <w:rPr/>
        <w:t>Guillermo Bonfil Batalla Nuestro patrimonio cultural: un laberinto de significados</w:t>
      </w:r>
    </w:p>
    <w:p>
      <w:pPr>
        <w:pStyle w:val="style0"/>
        <w:spacing w:after="120" w:before="120"/>
      </w:pPr>
      <w:r>
        <w:rPr/>
        <w:t xml:space="preserve">Jean Pierre Vanden Branden </w:t>
      </w:r>
      <w:r>
        <w:rPr>
          <w:iCs/>
        </w:rPr>
        <w:t xml:space="preserve">Mi manera de concebir la recepción del visitantes </w:t>
      </w:r>
      <w:r>
        <w:rPr/>
        <w:t xml:space="preserve">en </w:t>
      </w:r>
      <w:r>
        <w:rPr>
          <w:bCs/>
          <w:iCs/>
        </w:rPr>
        <w:t xml:space="preserve">Museum </w:t>
      </w:r>
      <w:r>
        <w:rPr>
          <w:bCs/>
        </w:rPr>
        <w:t>No 144 (Vol XXXVI, n° 4, 1984) El Museo como educador.</w:t>
      </w:r>
    </w:p>
    <w:p>
      <w:pPr>
        <w:pStyle w:val="style0"/>
        <w:spacing w:after="120" w:before="120"/>
      </w:pPr>
      <w:r>
        <w:rPr>
          <w:iCs/>
        </w:rPr>
        <w:t>Karol, Mariana. 2004. L</w:t>
      </w:r>
      <w:r>
        <w:rPr/>
        <w:t xml:space="preserve">a Transmisión: entre el olvido y el recuerdo, entre el pasado y el futuro, en Frigerio, G. y Diker, G. 2004. “Una ética en el trabajo con niños y adolescentes. La habilitación de la oportunidad”, Ensayos y experiencias N°52, NOVEDUC, Argentina.  </w:t>
      </w:r>
    </w:p>
    <w:p>
      <w:pPr>
        <w:pStyle w:val="style0"/>
        <w:spacing w:after="120" w:before="120"/>
      </w:pPr>
      <w:r>
        <w:rPr/>
        <w:t>López, Eneritz y Eva Alcaide</w:t>
      </w:r>
      <w:r>
        <w:rPr>
          <w:bCs/>
        </w:rPr>
        <w:t>. 2011. “Una historia de los departamentos de educación y las educadoras en los museos españoles: mirando atrás para poder seguir adelante”, en Acaso María, 2011 (coord.) Perspectivas. S</w:t>
      </w:r>
      <w:r>
        <w:rPr/>
        <w:t>ituación actual de la educación en los museos de artes visuales</w:t>
      </w:r>
      <w:r>
        <w:rPr>
          <w:bCs/>
        </w:rPr>
        <w:t xml:space="preserve">. Ariel, Fundación Telefónica, España.  </w:t>
      </w:r>
    </w:p>
    <w:p>
      <w:pPr>
        <w:pStyle w:val="style0"/>
        <w:spacing w:after="120" w:before="120"/>
      </w:pPr>
      <w:r>
        <w:rPr/>
        <w:t xml:space="preserve">Mairesse, Francois. 1998. “El álbum familiar”. Revista </w:t>
      </w:r>
      <w:r>
        <w:rPr>
          <w:bCs/>
          <w:i/>
          <w:iCs/>
        </w:rPr>
        <w:t xml:space="preserve">Museum Internacional </w:t>
      </w:r>
      <w:r>
        <w:rPr>
          <w:bCs/>
        </w:rPr>
        <w:t>N° 197. Vol I, N° 1. D</w:t>
      </w:r>
      <w:r>
        <w:rPr>
          <w:bCs/>
          <w:iCs/>
        </w:rPr>
        <w:t xml:space="preserve">ocumento especial: Cincuenta años de </w:t>
      </w:r>
      <w:r>
        <w:rPr>
          <w:bCs/>
        </w:rPr>
        <w:t xml:space="preserve">Museum </w:t>
      </w:r>
      <w:r>
        <w:rPr>
          <w:bCs/>
          <w:iCs/>
        </w:rPr>
        <w:t xml:space="preserve">y los museos en la UNESCO </w:t>
      </w:r>
    </w:p>
    <w:p>
      <w:pPr>
        <w:pStyle w:val="style48"/>
        <w:spacing w:after="120" w:before="120"/>
      </w:pPr>
      <w:r>
        <w:rPr>
          <w:rFonts w:ascii="Times New Roman" w:cs="Times New Roman" w:hAnsi="Times New Roman"/>
          <w:color w:val="00000A"/>
          <w:lang w:val="pt-BR"/>
        </w:rPr>
        <w:t>Mairesse, François. 2015. “</w:t>
      </w:r>
      <w:r>
        <w:rPr>
          <w:rFonts w:ascii="Times New Roman" w:cs="Times New Roman" w:hAnsi="Times New Roman"/>
          <w:bCs/>
          <w:color w:val="00000A"/>
          <w:lang w:val="pt-BR"/>
        </w:rPr>
        <w:t>Comunicação, mediação e marketing”</w:t>
      </w:r>
      <w:r>
        <w:rPr>
          <w:rFonts w:ascii="Times New Roman" w:cs="Times New Roman" w:hAnsi="Times New Roman"/>
          <w:color w:val="00000A"/>
          <w:lang w:val="pt-BR"/>
        </w:rPr>
        <w:t xml:space="preserve">, en Revista Museologia &amp; interdisciplinaridade, Vol. </w:t>
      </w:r>
      <w:r>
        <w:rPr>
          <w:rFonts w:ascii="Times New Roman" w:cs="Times New Roman" w:hAnsi="Times New Roman"/>
          <w:color w:val="00000A"/>
        </w:rPr>
        <w:t xml:space="preserve">IV, Nº 7, Out. / Nov. de 2015. Universidad de Brasilia. </w:t>
      </w:r>
    </w:p>
    <w:p>
      <w:pPr>
        <w:pStyle w:val="style0"/>
        <w:spacing w:after="120" w:before="120"/>
      </w:pPr>
      <w:r>
        <w:rPr/>
        <w:t xml:space="preserve">Maraisse, Francois. 2013. El museo hibrido. Ed. Ariel. Bs. As. Introducción  </w:t>
      </w:r>
    </w:p>
    <w:p>
      <w:pPr>
        <w:pStyle w:val="style0"/>
        <w:spacing w:after="120" w:before="120"/>
      </w:pPr>
      <w:r>
        <w:rPr>
          <w:rStyle w:val="style26"/>
          <w:rFonts w:cs="Times New Roman" w:eastAsia="Trebuchet MS"/>
          <w:color w:val="00000A"/>
          <w:sz w:val="24"/>
          <w:szCs w:val="24"/>
        </w:rPr>
        <w:t xml:space="preserve">Mateos, Santos M. (2011). “Visitantes &amp; Patrimonio cultural. Tanto monta, monta tanto…”, [en línea] </w:t>
      </w:r>
      <w:r>
        <w:rPr>
          <w:rStyle w:val="style26"/>
          <w:rFonts w:cs="Times New Roman" w:eastAsia="Trebuchet MS"/>
          <w:i/>
          <w:iCs/>
          <w:color w:val="00000A"/>
          <w:sz w:val="24"/>
          <w:szCs w:val="24"/>
        </w:rPr>
        <w:t>Miradas desde la copa. e-Revista de Comunicación y Patrimonio cultural</w:t>
      </w:r>
      <w:r>
        <w:rPr>
          <w:rStyle w:val="style26"/>
          <w:rFonts w:cs="Times New Roman" w:eastAsia="Trebuchet MS"/>
          <w:color w:val="00000A"/>
          <w:sz w:val="24"/>
          <w:szCs w:val="24"/>
        </w:rPr>
        <w:t>, n.º 3, Vic: Grupo de Investigación en Comunicación y Patrimonio, Universitat de Vic, p. 2-3. Disponible en: www.comunicacionpatrimonio.net</w:t>
      </w:r>
    </w:p>
    <w:p>
      <w:pPr>
        <w:pStyle w:val="style0"/>
        <w:spacing w:after="120" w:before="120"/>
      </w:pPr>
      <w:r>
        <w:rPr>
          <w:lang w:val="fr-FR"/>
        </w:rPr>
        <w:t xml:space="preserve">Meunier, Anik. 2011.  « Les outils pédagogiques dans les musées: pour qui, pour quoi? », en </w:t>
      </w:r>
      <w:r>
        <w:rPr>
          <w:iCs/>
          <w:lang w:val="fr-FR"/>
        </w:rPr>
        <w:t xml:space="preserve">La Lettre de l’OCIM  </w:t>
      </w:r>
      <w:r>
        <w:rPr>
          <w:lang w:val="fr-FR"/>
        </w:rPr>
        <w:t xml:space="preserve">http://ocim.revues.org/648 ; DOI : 10.4000/ocim.648.  </w:t>
      </w:r>
    </w:p>
    <w:p>
      <w:pPr>
        <w:pStyle w:val="style0"/>
        <w:spacing w:after="120" w:before="120"/>
      </w:pPr>
      <w:r>
        <w:rPr>
          <w:lang w:val="es-AR"/>
        </w:rPr>
        <w:t xml:space="preserve">Miller Toby y George Yúdice, </w:t>
      </w:r>
      <w:r>
        <w:rPr>
          <w:iCs/>
          <w:lang w:val="es-AR"/>
        </w:rPr>
        <w:t>Política cultural</w:t>
      </w:r>
      <w:r>
        <w:rPr>
          <w:lang w:val="es-AR"/>
        </w:rPr>
        <w:t xml:space="preserve">, Gedisa, Barcelona, 2004. </w:t>
      </w:r>
      <w:hyperlink r:id="rId4">
        <w:r>
          <w:rPr>
            <w:rStyle w:val="style18"/>
            <w:lang w:val="es-AR"/>
          </w:rPr>
          <w:t>https://archive.org/stream/pdfy-E-YmC6dMKA0fBveL/133740394-EL-RECURSO-DE-LA-CULTURA-Usos-de-La-cuLtura-en-La-era-gLobal-George-Yudice-pdf_djvu.txt</w:t>
        </w:r>
      </w:hyperlink>
    </w:p>
    <w:p>
      <w:pPr>
        <w:pStyle w:val="style0"/>
        <w:spacing w:after="120" w:before="120"/>
      </w:pPr>
      <w:r>
        <w:rPr/>
        <w:t xml:space="preserve">Pineau, Pablo. 2001. “¿Por qué triunfó la escuela?, o la modernidad dijo `Esto es educación`, y la escuela respondió `Yo me ocupo”, en Pineau, Pablo; Dussel, Inés y Caruso, Marcelo </w:t>
      </w:r>
      <w:r>
        <w:rPr>
          <w:i/>
          <w:iCs/>
        </w:rPr>
        <w:t xml:space="preserve">La escuela como máquina de educar. Tres escritos sobre un proyecto de la modernidad. </w:t>
      </w:r>
      <w:r>
        <w:rPr/>
        <w:t xml:space="preserve">Buenos Aires, Paidós. </w:t>
      </w:r>
    </w:p>
    <w:p>
      <w:pPr>
        <w:pStyle w:val="style0"/>
        <w:spacing w:after="120" w:before="120"/>
      </w:pPr>
      <w:r>
        <w:rPr>
          <w:iCs/>
          <w:lang w:val="es-AR"/>
        </w:rPr>
        <w:t xml:space="preserve">Sánchez de Serdio, Aida Martín. </w:t>
      </w:r>
      <w:r>
        <w:rPr>
          <w:iCs/>
        </w:rPr>
        <w:t xml:space="preserve">2012. </w:t>
      </w:r>
      <w:r>
        <w:rPr>
          <w:bCs/>
        </w:rPr>
        <w:t>Territorios de colaboración: negociaciones educativas-artísticas en la escuela, el museo y la comunidad E</w:t>
      </w:r>
      <w:r>
        <w:rPr/>
        <w:t>ducación en foco, Juiz de Fora, v. 18, n. 2, p. 85-117, mar. / jun. 2012</w:t>
      </w:r>
    </w:p>
    <w:p>
      <w:pPr>
        <w:pStyle w:val="style0"/>
        <w:spacing w:after="120" w:before="120"/>
      </w:pPr>
      <w:r>
        <w:rPr>
          <w:lang w:val="es-MX"/>
        </w:rPr>
        <w:t xml:space="preserve">Schmilchuk, Graciela. 2003. Museos, comunicación y educacion. Antología comentada. </w:t>
      </w:r>
      <w:r>
        <w:rPr/>
        <w:t>Centro Nacional de Investigación, Documentación e Información de Artes Plásticas. P</w:t>
      </w:r>
      <w:r>
        <w:rPr>
          <w:bCs/>
        </w:rPr>
        <w:t>rimera Edición digital. M</w:t>
      </w:r>
      <w:r>
        <w:rPr>
          <w:lang w:val="es-MX"/>
        </w:rPr>
        <w:t xml:space="preserve">éxico </w:t>
      </w:r>
    </w:p>
    <w:p>
      <w:pPr>
        <w:pStyle w:val="style0"/>
        <w:spacing w:after="120" w:before="120"/>
      </w:pPr>
      <w:r>
        <w:rPr/>
        <w:t xml:space="preserve">Trilla, Jaume (coord.). 1998. Animación sociocultural. Teorías, programas y ámbitos. Ariel Educación, España.   </w:t>
      </w:r>
    </w:p>
    <w:p>
      <w:pPr>
        <w:pStyle w:val="style0"/>
        <w:spacing w:after="120" w:before="120"/>
      </w:pPr>
      <w:r>
        <w:rPr>
          <w:b/>
        </w:rPr>
      </w:r>
    </w:p>
    <w:p>
      <w:pPr>
        <w:pStyle w:val="style0"/>
        <w:spacing w:after="120" w:before="120"/>
      </w:pPr>
      <w:r>
        <w:rPr>
          <w:b/>
        </w:rPr>
        <w:t xml:space="preserve">UNIDAD 3: Aproximación a la experiencia del visitante </w:t>
      </w:r>
    </w:p>
    <w:p>
      <w:pPr>
        <w:pStyle w:val="style0"/>
        <w:spacing w:after="120" w:before="120"/>
      </w:pPr>
      <w:r>
        <w:rPr/>
        <w:t xml:space="preserve">Supuestos y concepciones sobre los visitantes de museos: ¿audiencia, espectador, cliente, usuario? Públicos existentes y potenciales. La experiencia de los visitantes y su relación con los acervos del museo: acceso, participación y apropiación ¿El aprendizaje en los museos? </w:t>
      </w:r>
    </w:p>
    <w:p>
      <w:pPr>
        <w:pStyle w:val="style0"/>
        <w:spacing w:after="120" w:before="120"/>
      </w:pPr>
      <w:r>
        <w:rPr>
          <w:b/>
          <w:bCs/>
          <w:lang w:val="es-AR"/>
        </w:rPr>
        <w:t>Bibliografía obligatoria</w:t>
      </w:r>
    </w:p>
    <w:p>
      <w:pPr>
        <w:pStyle w:val="style0"/>
        <w:spacing w:after="120" w:before="120"/>
      </w:pPr>
      <w:r>
        <w:rPr/>
        <w:t>Arrieta Urtizberea, I. (2014): «Públicos y museos: entre la democracia cultural y la mercantilización del patrimonio», en La sociedad ante los museos, Bilbao: Universidad del País Vasco/Euskal Herriko Unibertsitatea. Servicio Editorial/Argitalpen Zerbitzua, pp. 9-25, https://www.academia. edu/13440596/P%C3%BAblicos_y_museos_entre_la_democracia_cultural_y_ la_mercantilizaci%C3%B3n_del_patrimonio</w:t>
      </w:r>
    </w:p>
    <w:p>
      <w:pPr>
        <w:pStyle w:val="style0"/>
        <w:spacing w:after="120" w:before="120"/>
      </w:pPr>
      <w:r>
        <w:rPr>
          <w:lang w:val="en-US"/>
        </w:rPr>
        <w:t xml:space="preserve">Falk, J. 2011 “Reconceptualizing the Museum Visitor Experience. Who visits, why and to what affect?” ICOFOM. Disponible on line. </w:t>
      </w:r>
    </w:p>
    <w:p>
      <w:pPr>
        <w:pStyle w:val="style45"/>
        <w:shd w:fill="FFFFFF" w:val="clear"/>
        <w:spacing w:after="120" w:before="120" w:line="100" w:lineRule="atLeast"/>
        <w:ind w:hanging="0" w:left="0" w:right="0"/>
      </w:pPr>
      <w:r>
        <w:rPr>
          <w:rStyle w:val="style22"/>
          <w:rFonts w:ascii="Times New Roman" w:cs="Times New Roman" w:hAnsi="Times New Roman"/>
          <w:color w:val="00000A"/>
          <w:sz w:val="24"/>
          <w:szCs w:val="24"/>
          <w:lang w:val="en-US"/>
        </w:rPr>
        <w:t xml:space="preserve">Falk, </w:t>
      </w:r>
      <w:r>
        <w:rPr>
          <w:rFonts w:ascii="Times New Roman" w:cs="Times New Roman" w:hAnsi="Times New Roman"/>
          <w:smallCaps/>
          <w:sz w:val="24"/>
          <w:szCs w:val="24"/>
          <w:lang w:val="en-US"/>
        </w:rPr>
        <w:t xml:space="preserve">J. </w:t>
      </w:r>
      <w:r>
        <w:rPr>
          <w:rStyle w:val="style20"/>
          <w:rFonts w:ascii="Times New Roman" w:cs="Times New Roman" w:hAnsi="Times New Roman"/>
          <w:color w:val="00000A"/>
          <w:sz w:val="24"/>
          <w:szCs w:val="24"/>
          <w:lang w:val="en-US"/>
        </w:rPr>
        <w:t xml:space="preserve">y </w:t>
      </w:r>
      <w:r>
        <w:rPr>
          <w:rStyle w:val="style22"/>
          <w:rFonts w:ascii="Times New Roman" w:cs="Times New Roman" w:hAnsi="Times New Roman"/>
          <w:color w:val="00000A"/>
          <w:sz w:val="24"/>
          <w:szCs w:val="24"/>
          <w:lang w:val="en-US"/>
        </w:rPr>
        <w:t xml:space="preserve">Dierking, </w:t>
      </w:r>
      <w:r>
        <w:rPr>
          <w:rFonts w:ascii="Times New Roman" w:cs="Times New Roman" w:hAnsi="Times New Roman"/>
          <w:sz w:val="24"/>
          <w:szCs w:val="24"/>
          <w:lang w:val="en-US"/>
        </w:rPr>
        <w:t xml:space="preserve">L. 1992. </w:t>
      </w:r>
      <w:r>
        <w:rPr>
          <w:rStyle w:val="style21"/>
          <w:rFonts w:ascii="Times New Roman" w:cs="Times New Roman" w:hAnsi="Times New Roman"/>
          <w:color w:val="00000A"/>
          <w:sz w:val="24"/>
          <w:szCs w:val="24"/>
          <w:lang w:val="en-US"/>
        </w:rPr>
        <w:t>The Muséum Expérience,</w:t>
      </w:r>
      <w:r>
        <w:rPr>
          <w:rFonts w:ascii="Times New Roman" w:cs="Times New Roman" w:hAnsi="Times New Roman"/>
          <w:sz w:val="24"/>
          <w:szCs w:val="24"/>
          <w:lang w:val="en-US"/>
        </w:rPr>
        <w:t xml:space="preserve"> Washington, Whalesback Books.</w:t>
      </w:r>
    </w:p>
    <w:p>
      <w:pPr>
        <w:pStyle w:val="style0"/>
        <w:spacing w:after="120" w:before="120"/>
      </w:pPr>
      <w:r>
        <w:rPr>
          <w:lang w:val="es-ES"/>
        </w:rPr>
        <w:t xml:space="preserve">Huyssen, Andreas. 2002. </w:t>
      </w:r>
      <w:r>
        <w:rPr/>
        <w:t>En Busca del Futuro Perdido. Cultura y Memoria en Tiempos de Globalización. México, Fondo de Cultura Económica. Capítulo 2</w:t>
      </w:r>
    </w:p>
    <w:p>
      <w:pPr>
        <w:pStyle w:val="style0"/>
        <w:spacing w:after="120" w:before="120"/>
      </w:pPr>
      <w:r>
        <w:rPr>
          <w:color w:val="222222"/>
          <w:lang w:eastAsia="es-AR"/>
        </w:rPr>
        <w:t>Winocur Rosalía. 2010. De las Políticas a los Ciudadanos Una reflexión crítica sobre los supuestos y definiciones que asumen las políticas culturales para conceptualizar sus acciones de desarrollo cultural. Programa de las Naciones Unidas para el Desarrollo – PNUD</w:t>
      </w:r>
      <w:r>
        <w:rPr>
          <w:color w:val="FF0000"/>
          <w:lang w:val="en-US"/>
        </w:rPr>
        <w:t xml:space="preserve"> </w:t>
      </w:r>
    </w:p>
    <w:p>
      <w:pPr>
        <w:pStyle w:val="style0"/>
        <w:spacing w:after="120" w:before="120"/>
      </w:pPr>
      <w:r>
        <w:rPr>
          <w:b/>
          <w:color w:val="222222"/>
          <w:lang w:eastAsia="es-AR"/>
        </w:rPr>
        <w:t>Ampliatoria</w:t>
      </w:r>
      <w:r>
        <w:rPr>
          <w:color w:val="222222"/>
          <w:lang w:eastAsia="es-AR"/>
        </w:rPr>
        <w:t xml:space="preserve">: </w:t>
      </w:r>
    </w:p>
    <w:p>
      <w:pPr>
        <w:pStyle w:val="style0"/>
        <w:spacing w:after="120" w:before="120"/>
      </w:pPr>
      <w:r>
        <w:rPr/>
        <w:t xml:space="preserve">Asensio Mikel y Elena Pol. 2008. </w:t>
      </w:r>
      <w:r>
        <w:rPr>
          <w:bCs/>
        </w:rPr>
        <w:t xml:space="preserve">Conversaciones sobre el aprendizaje informal en museos y el patrimonio, en </w:t>
      </w:r>
      <w:r>
        <w:rPr/>
        <w:t xml:space="preserve">Heredina Fernandez Betancort (Ed.) Turismo, patrimonio y educación: los museos como laboratorios de conocimientos y emociones. Escuela Universitaria de Turismo de Lanzarote. </w:t>
      </w:r>
    </w:p>
    <w:p>
      <w:pPr>
        <w:pStyle w:val="style0"/>
        <w:spacing w:after="120" w:before="120"/>
      </w:pPr>
      <w:r>
        <w:rPr>
          <w:lang w:eastAsia="es-ES" w:val="es-AR"/>
        </w:rPr>
        <w:t xml:space="preserve">Batallán, G. y Neufeld, M.R. (Coord.) </w:t>
      </w:r>
      <w:r>
        <w:rPr>
          <w:lang w:eastAsia="es-ES"/>
        </w:rPr>
        <w:t xml:space="preserve">2011. Discusiones sobre infancia y adolescencia. Niños y jóvenes, dentro y fuera de la escuela. Buenos Aires, Argentina. Ed. Biblos.  </w:t>
      </w:r>
    </w:p>
    <w:p>
      <w:pPr>
        <w:pStyle w:val="style0"/>
        <w:spacing w:after="120" w:before="120"/>
      </w:pPr>
      <w:r>
        <w:rPr>
          <w:color w:val="222222"/>
          <w:lang w:eastAsia="es-AR"/>
        </w:rPr>
        <w:t xml:space="preserve">de Almeida, Pilar; Mitjáns Martínez, Albertina As pesquisas sobre aprendizagem em museus: uma análise sob a ótica dos estudos da subjetividade na perspectiva histórico-cultural Ciência &amp; Educação (Bauru), vol. 20, núm. 3, 2014, pp. 721-737 Universidade Estadual Paulista Júlio de Mesquita Filho São Paulo, Brasil. </w:t>
      </w:r>
    </w:p>
    <w:p>
      <w:pPr>
        <w:pStyle w:val="style0"/>
        <w:widowControl w:val="false"/>
        <w:tabs>
          <w:tab w:leader="none" w:pos="-2268" w:val="left"/>
          <w:tab w:leader="none" w:pos="360" w:val="left"/>
          <w:tab w:leader="none" w:pos="1843" w:val="left"/>
        </w:tabs>
        <w:spacing w:after="120" w:before="120"/>
      </w:pPr>
      <w:r>
        <w:rPr>
          <w:lang w:val="es-AR"/>
        </w:rPr>
        <w:t xml:space="preserve">Eidelman, J. y M. Roustan et B. Goldstein (comps.). 2013. </w:t>
      </w:r>
      <w:r>
        <w:rPr/>
        <w:t xml:space="preserve">El Museo y sus públicos: el visitante tiene la palabra. </w:t>
      </w:r>
      <w:r>
        <w:rPr>
          <w:lang w:val="es-AR"/>
        </w:rPr>
        <w:t xml:space="preserve">Paidós y Fundación TyPA. Ariel. </w:t>
      </w:r>
      <w:r>
        <w:rPr>
          <w:lang w:val="en-US"/>
        </w:rPr>
        <w:t xml:space="preserve">Argentina.  </w:t>
      </w:r>
    </w:p>
    <w:p>
      <w:pPr>
        <w:pStyle w:val="style48"/>
        <w:spacing w:after="120" w:before="120"/>
      </w:pPr>
      <w:r>
        <w:rPr>
          <w:rFonts w:ascii="Times New Roman" w:cs="Times New Roman" w:hAnsi="Times New Roman"/>
        </w:rPr>
        <w:t xml:space="preserve">Gorgas, Mónica – de la Cerda, J. 2005 A Diferentes Denominaciones, Diferentes Ideologías: Pero Siempre se Trata de la Gente (Spanish) Museologia y el Público de Museos Edited by Hildegard K. Vieregg, Munich/ Germany ICOFOM Calgary, Canada. June 30 – July 2, 2005 </w:t>
      </w:r>
    </w:p>
    <w:p>
      <w:pPr>
        <w:pStyle w:val="style0"/>
        <w:spacing w:after="120" w:before="120"/>
      </w:pPr>
      <w:r>
        <w:rPr>
          <w:rFonts w:cs="Calibri"/>
          <w:bCs/>
          <w:lang w:eastAsia="en-US" w:val="es-AR"/>
        </w:rPr>
        <w:t>Terig</w:t>
      </w:r>
      <w:r>
        <w:rPr>
          <w:rFonts w:cs="Calibri"/>
          <w:lang w:eastAsia="en-US" w:val="es-AR"/>
        </w:rPr>
        <w:t>i,</w:t>
      </w:r>
      <w:r>
        <w:rPr>
          <w:rFonts w:cs="Calibri"/>
          <w:bCs/>
          <w:lang w:eastAsia="en-US" w:val="es-AR"/>
        </w:rPr>
        <w:t xml:space="preserve"> Flavia</w:t>
      </w:r>
      <w:r>
        <w:rPr>
          <w:rFonts w:cs="Calibri"/>
          <w:lang w:eastAsia="en-US" w:val="es-AR"/>
        </w:rPr>
        <w:t xml:space="preserve">. 2010.  </w:t>
      </w:r>
      <w:r>
        <w:rPr>
          <w:rFonts w:cs="Calibri"/>
          <w:bCs/>
          <w:lang w:eastAsia="en-US" w:val="es-AR"/>
        </w:rPr>
        <w:t>Sujetos de la educación. Aportes para el desarrollo curricular, M</w:t>
      </w:r>
      <w:r>
        <w:rPr>
          <w:rFonts w:cs="Calibri"/>
          <w:lang w:eastAsia="en-US" w:val="es-AR"/>
        </w:rPr>
        <w:t xml:space="preserve">inisterio de Educación de la Nación, 1a Ed. Buenos Aires. </w:t>
      </w:r>
    </w:p>
    <w:p>
      <w:pPr>
        <w:pStyle w:val="style0"/>
        <w:spacing w:after="120" w:before="120"/>
      </w:pPr>
      <w:r>
        <w:rPr>
          <w:rFonts w:cs="Calibri"/>
          <w:lang w:eastAsia="en-US" w:val="es-AR"/>
        </w:rPr>
      </w:r>
    </w:p>
    <w:p>
      <w:pPr>
        <w:pStyle w:val="style0"/>
        <w:spacing w:after="120" w:before="120"/>
      </w:pPr>
      <w:r>
        <w:rPr>
          <w:b/>
        </w:rPr>
        <w:t xml:space="preserve">UNIDAD 4: Las exposiciones </w:t>
      </w:r>
    </w:p>
    <w:p>
      <w:pPr>
        <w:pStyle w:val="style0"/>
        <w:spacing w:after="120" w:before="120"/>
      </w:pPr>
      <w:r>
        <w:rPr/>
        <w:t xml:space="preserve">Las exhibiciones, dispositivos tecnológicos específicos del museo. Espacios de </w:t>
      </w:r>
      <w:r>
        <w:rPr>
          <w:lang w:eastAsia="es-ES" w:val="es-ES"/>
        </w:rPr>
        <w:t xml:space="preserve">negociación cultural y transmisión de sentido. La problemática de la curaduría. Guion museológico-narrativas y guion museográfico. Los recursos museográficos y dispositivos interactivos </w:t>
      </w:r>
    </w:p>
    <w:p>
      <w:pPr>
        <w:pStyle w:val="style0"/>
        <w:spacing w:after="120" w:before="120"/>
      </w:pPr>
      <w:r>
        <w:rPr>
          <w:b/>
          <w:bCs/>
          <w:lang w:val="es-ES"/>
        </w:rPr>
        <w:t>Bibliografía obligatoria</w:t>
      </w:r>
    </w:p>
    <w:p>
      <w:pPr>
        <w:pStyle w:val="style0"/>
        <w:spacing w:after="120" w:before="120"/>
      </w:pPr>
      <w:r>
        <w:rPr>
          <w:iCs/>
        </w:rPr>
        <w:t xml:space="preserve">Arrieta Urtizberea Iñaki. 2015. El complicado arte de exponer, en Urtizberea Iñaki Arrieta </w:t>
      </w:r>
      <w:r>
        <w:rPr/>
        <w:t xml:space="preserve">(ed.) 2015. El desafío de exponer: procesos y retos museográficos. Bilbao: Universidad del País Vasco ISBN: 978-84-9082-190-9.  </w:t>
      </w:r>
    </w:p>
    <w:p>
      <w:pPr>
        <w:pStyle w:val="style0"/>
        <w:spacing w:after="120" w:before="120"/>
      </w:pPr>
      <w:r>
        <w:rPr>
          <w:lang w:eastAsia="es-AR"/>
        </w:rPr>
        <w:t>Clifford, J (1999) Itinerarios transculturales. Barcelona: Gedisa. Cap. 7 Los museos como zona de contacto p.233</w:t>
      </w:r>
    </w:p>
    <w:p>
      <w:pPr>
        <w:pStyle w:val="style0"/>
        <w:spacing w:after="120" w:before="120"/>
      </w:pPr>
      <w:r>
        <w:rPr/>
        <w:t>Galindo C., Luis Adrián Museos, saberes y diversidad cultural Boletín Antropológico, vol. 22, núm. 62, septiembre-diciembre, 2004, pp. 369-404 Universidad de los Andes Mérida, Venezuela</w:t>
      </w:r>
    </w:p>
    <w:p>
      <w:pPr>
        <w:pStyle w:val="style0"/>
        <w:shd w:fill="FFFFFF" w:val="clear"/>
        <w:spacing w:after="120" w:before="120"/>
        <w:jc w:val="both"/>
      </w:pPr>
      <w:r>
        <w:rPr>
          <w:lang w:eastAsia="es-AR"/>
        </w:rPr>
        <w:t>García Canclini, Néstor (2001) “El porvenir del pasado”, en Cultura híbridas: estrategias para entrar y salir de la modernidad, Buenos Aires. Cap. 4</w:t>
      </w:r>
    </w:p>
    <w:p>
      <w:pPr>
        <w:pStyle w:val="style0"/>
        <w:spacing w:after="120" w:before="120"/>
      </w:pPr>
      <w:r>
        <w:rPr/>
        <w:t xml:space="preserve">Guía para el análisis de las exposiciones (documento de catedra </w:t>
      </w:r>
    </w:p>
    <w:p>
      <w:pPr>
        <w:pStyle w:val="style45"/>
        <w:shd w:fill="FFFFFF" w:val="clear"/>
        <w:spacing w:after="120" w:before="120" w:line="100" w:lineRule="atLeast"/>
        <w:ind w:hanging="0" w:left="0" w:right="40"/>
      </w:pPr>
      <w:r>
        <w:rPr>
          <w:rStyle w:val="style20"/>
          <w:rFonts w:ascii="Times New Roman" w:cs="Times New Roman" w:hAnsi="Times New Roman"/>
          <w:sz w:val="24"/>
          <w:szCs w:val="24"/>
        </w:rPr>
        <w:t xml:space="preserve">Santacana Mestre, </w:t>
      </w:r>
      <w:r>
        <w:rPr>
          <w:rFonts w:ascii="Times New Roman" w:cs="Times New Roman" w:hAnsi="Times New Roman"/>
          <w:sz w:val="24"/>
          <w:szCs w:val="24"/>
        </w:rPr>
        <w:t xml:space="preserve">J. </w:t>
      </w:r>
      <w:r>
        <w:rPr>
          <w:rStyle w:val="style20"/>
          <w:rFonts w:ascii="Times New Roman" w:cs="Times New Roman" w:hAnsi="Times New Roman"/>
          <w:sz w:val="24"/>
          <w:szCs w:val="24"/>
        </w:rPr>
        <w:t xml:space="preserve">y Serrat Antoli, </w:t>
      </w:r>
      <w:r>
        <w:rPr>
          <w:rFonts w:ascii="Times New Roman" w:cs="Times New Roman" w:hAnsi="Times New Roman"/>
          <w:sz w:val="24"/>
          <w:szCs w:val="24"/>
        </w:rPr>
        <w:t xml:space="preserve">N. (coords.) (2005), </w:t>
      </w:r>
      <w:r>
        <w:rPr>
          <w:rStyle w:val="style21"/>
          <w:rFonts w:ascii="Times New Roman" w:cs="Times New Roman" w:hAnsi="Times New Roman"/>
          <w:sz w:val="24"/>
          <w:szCs w:val="24"/>
        </w:rPr>
        <w:t>Museografia didáctica,</w:t>
      </w:r>
      <w:r>
        <w:rPr>
          <w:rFonts w:ascii="Times New Roman" w:cs="Times New Roman" w:hAnsi="Times New Roman"/>
          <w:sz w:val="24"/>
          <w:szCs w:val="24"/>
        </w:rPr>
        <w:t xml:space="preserve"> Barcelona, Ariel.</w:t>
      </w:r>
    </w:p>
    <w:p>
      <w:pPr>
        <w:pStyle w:val="style47"/>
        <w:spacing w:after="120" w:before="120"/>
        <w:jc w:val="both"/>
      </w:pPr>
      <w:r>
        <w:rPr>
          <w:rFonts w:cs="Times New Roman"/>
          <w:b/>
        </w:rPr>
        <w:t>Ampliatoria</w:t>
      </w:r>
      <w:r>
        <w:rPr>
          <w:rFonts w:cs="Times New Roman"/>
        </w:rPr>
        <w:t xml:space="preserve">: </w:t>
      </w:r>
    </w:p>
    <w:p>
      <w:pPr>
        <w:pStyle w:val="style47"/>
        <w:spacing w:after="120" w:before="120"/>
        <w:jc w:val="both"/>
      </w:pPr>
      <w:r>
        <w:rPr>
          <w:rFonts w:cs="Times New Roman"/>
        </w:rPr>
        <w:t>Dessajan S., "Un comité de visitantes en el Museo del Hombre, o cómo los usuarios del museo toman la palabra" (pp.311-327).</w:t>
      </w:r>
    </w:p>
    <w:p>
      <w:pPr>
        <w:pStyle w:val="style0"/>
        <w:spacing w:after="120" w:before="120"/>
      </w:pPr>
      <w:r>
        <w:rPr/>
        <w:t xml:space="preserve">Dufresne Tassé, Colette. 2008. La imaginación del adulto: cómo enriquece la visita y se convierte en aliada del comisario de exposiciones (p.80), </w:t>
      </w:r>
      <w:r>
        <w:rPr>
          <w:color w:val="000000"/>
        </w:rPr>
        <w:t>en Revista mus-a “El público y los museos”. R</w:t>
      </w:r>
      <w:r>
        <w:rPr/>
        <w:t xml:space="preserve">evista de los museos de Andalucía año vi nº 10 octubre 2008 </w:t>
      </w:r>
    </w:p>
    <w:p>
      <w:pPr>
        <w:pStyle w:val="style0"/>
        <w:spacing w:after="120" w:before="120"/>
      </w:pPr>
      <w:r>
        <w:rPr/>
        <w:t xml:space="preserve">Schärer, Martín R. 2000.El Museo y la exposición ICOM-Suiza y de ICOFOM. Museo del Oro, Bogotá. </w:t>
      </w:r>
    </w:p>
    <w:p>
      <w:pPr>
        <w:pStyle w:val="style0"/>
        <w:spacing w:after="120" w:before="120"/>
      </w:pPr>
      <w:r>
        <w:rPr>
          <w:bCs/>
        </w:rPr>
        <w:t>Schmilchuk Graciela. 2006. Acerca de la mirada excluida</w:t>
      </w:r>
    </w:p>
    <w:p>
      <w:pPr>
        <w:pStyle w:val="style0"/>
        <w:spacing w:after="120" w:before="120"/>
      </w:pPr>
      <w:r>
        <w:rPr>
          <w:bCs/>
        </w:rPr>
      </w:r>
    </w:p>
    <w:p>
      <w:pPr>
        <w:pStyle w:val="style0"/>
        <w:spacing w:after="120" w:before="120"/>
      </w:pPr>
      <w:r>
        <w:rPr>
          <w:bCs/>
        </w:rPr>
      </w:r>
    </w:p>
    <w:p>
      <w:pPr>
        <w:pStyle w:val="style0"/>
        <w:widowControl w:val="false"/>
        <w:tabs>
          <w:tab w:leader="none" w:pos="0" w:val="left"/>
        </w:tabs>
        <w:spacing w:after="120" w:before="120"/>
      </w:pPr>
      <w:r>
        <w:rPr>
          <w:b/>
          <w:bCs/>
          <w:lang w:val="es-AR"/>
        </w:rPr>
        <w:t xml:space="preserve">UNIDAD 5: </w:t>
      </w:r>
      <w:r>
        <w:rPr>
          <w:b/>
          <w:bCs/>
        </w:rPr>
        <w:t xml:space="preserve">Debates actuales sobre el papel de los museos en la sociedad contemporánea  </w:t>
      </w:r>
    </w:p>
    <w:p>
      <w:pPr>
        <w:pStyle w:val="style0"/>
        <w:spacing w:after="120" w:before="120"/>
      </w:pPr>
      <w:r>
        <w:rPr/>
        <w:t xml:space="preserve">Los museos como espacio de disputa: dimensión política del museo. La función social de los museos: ciudadanía y desarrollo social. La incidencia de las concepciones subyacentes en las prácticas museológicas. Los museos ¿sitios de memoria? Los museos comunitarios, museo integral, ecomuseo. </w:t>
      </w:r>
    </w:p>
    <w:p>
      <w:pPr>
        <w:pStyle w:val="style0"/>
        <w:spacing w:after="120" w:before="120"/>
      </w:pPr>
      <w:r>
        <w:rPr>
          <w:b/>
          <w:bCs/>
          <w:lang w:val="es-ES"/>
        </w:rPr>
        <w:t xml:space="preserve">Bibliografía </w:t>
      </w:r>
    </w:p>
    <w:p>
      <w:pPr>
        <w:pStyle w:val="style0"/>
        <w:spacing w:after="120" w:before="120"/>
      </w:pPr>
      <w:r>
        <w:rPr/>
        <w:t xml:space="preserve">Candeau, Joël. 2008. Memoria e identidad. Ediciones del Sol, Serie antropológica. Argentina. Cap. IV y VI. </w:t>
      </w:r>
    </w:p>
    <w:p>
      <w:pPr>
        <w:pStyle w:val="style40"/>
        <w:spacing w:after="120" w:before="120"/>
      </w:pPr>
      <w:r>
        <w:rPr/>
        <w:t>CLIFFORD, J (1999) Itinerarios transculturales. Barcelona: Gedisa. Cap. 7 Los museos como zona de contacto</w:t>
      </w:r>
    </w:p>
    <w:p>
      <w:pPr>
        <w:pStyle w:val="style0"/>
        <w:spacing w:after="120" w:before="120"/>
        <w:jc w:val="both"/>
      </w:pPr>
      <w:r>
        <w:rPr/>
        <w:t xml:space="preserve">Huyssen, Andreas. 2002. Escapar de la Amnesia: los Museos como Medio de Masas. En: </w:t>
      </w:r>
      <w:r>
        <w:rPr>
          <w:i/>
        </w:rPr>
        <w:t>Busca del Futuro Perdido</w:t>
      </w:r>
      <w:r>
        <w:rPr/>
        <w:t>, pp. 41-75. Fondo de Cultura Económica, México.</w:t>
      </w:r>
    </w:p>
    <w:p>
      <w:pPr>
        <w:pStyle w:val="style0"/>
        <w:spacing w:after="120" w:before="120"/>
      </w:pPr>
      <w:r>
        <w:rPr>
          <w:color w:val="000000"/>
          <w:lang w:eastAsia="es-ES" w:val="es-ES"/>
        </w:rPr>
        <w:t>Iniesta, Monserrat (2009) “Patrimonio, Ágora, Ciudadanía. Lugares para negociar memorias productivas”, en Ricard Vinyes (ed.) </w:t>
      </w:r>
      <w:r>
        <w:rPr>
          <w:i/>
          <w:iCs/>
          <w:color w:val="000000"/>
          <w:lang w:eastAsia="es-ES" w:val="es-ES"/>
        </w:rPr>
        <w:t>El estado y la Memoria. Gobiernos y ciudadanos frente a los traumas de la historia</w:t>
      </w:r>
      <w:r>
        <w:rPr>
          <w:color w:val="000000"/>
          <w:lang w:eastAsia="es-ES" w:val="es-ES"/>
        </w:rPr>
        <w:t>, Buenos Aires-Barcelona, Del Nuevo Extremos, RBA. </w:t>
      </w:r>
    </w:p>
    <w:p>
      <w:pPr>
        <w:pStyle w:val="style0"/>
        <w:spacing w:after="120" w:before="120"/>
      </w:pPr>
      <w:r>
        <w:rPr>
          <w:lang w:eastAsia="es-ES" w:val="es-ES"/>
        </w:rPr>
        <w:t xml:space="preserve">Jelin, E. "¿De qué hablamos cuando hablamos de memorias?” </w:t>
      </w:r>
      <w:r>
        <w:rPr>
          <w:lang w:eastAsia="es-ES" w:val="fr-FR"/>
        </w:rPr>
        <w:t xml:space="preserve">Disponible en:  </w:t>
      </w:r>
      <w:hyperlink r:id="rId5">
        <w:r>
          <w:rPr>
            <w:rStyle w:val="style18"/>
            <w:lang w:eastAsia="es-ES" w:val="fr-FR"/>
          </w:rPr>
          <w:t>http://www.cholonautas.edu.pe/modulo/upload/JelinCap2.pdf</w:t>
        </w:r>
      </w:hyperlink>
      <w:r>
        <w:rPr>
          <w:shd w:fill="FCFAC6" w:val="clear"/>
          <w:lang w:val="fr-FR"/>
        </w:rPr>
        <w:t xml:space="preserve"> </w:t>
      </w:r>
    </w:p>
    <w:p>
      <w:pPr>
        <w:pStyle w:val="style40"/>
        <w:spacing w:after="120" w:before="120"/>
      </w:pPr>
      <w:r>
        <w:rPr/>
        <w:t xml:space="preserve">Ludmila Da Silva Catela, "El mundo de los archivos". Disponible en:  </w:t>
      </w:r>
      <w:hyperlink r:id="rId6">
        <w:r>
          <w:rPr>
            <w:rStyle w:val="style18"/>
          </w:rPr>
          <w:t>http://www.corteidh.or.cr/tablas/r29766.pdf</w:t>
        </w:r>
      </w:hyperlink>
    </w:p>
    <w:p>
      <w:pPr>
        <w:pStyle w:val="style0"/>
        <w:spacing w:after="120" w:before="120"/>
      </w:pPr>
      <w:r>
        <w:rPr>
          <w:color w:val="000000"/>
        </w:rPr>
        <w:t>Nagy,</w:t>
      </w:r>
      <w:r>
        <w:rPr/>
        <w:t xml:space="preserve"> </w:t>
      </w:r>
      <w:r>
        <w:rPr>
          <w:color w:val="000000"/>
        </w:rPr>
        <w:t xml:space="preserve">Mariano A. </w:t>
      </w:r>
      <w:r>
        <w:rPr>
          <w:rStyle w:val="style26"/>
          <w:rFonts w:cs="Times New Roman" w:eastAsia="Trebuchet MS"/>
          <w:sz w:val="24"/>
          <w:szCs w:val="24"/>
        </w:rPr>
        <w:t xml:space="preserve">Los museos de la </w:t>
      </w:r>
      <w:r>
        <w:rPr>
          <w:rStyle w:val="style26"/>
          <w:rFonts w:cs="Times New Roman" w:eastAsia="Trebuchet MS"/>
          <w:i/>
          <w:iCs/>
          <w:sz w:val="24"/>
          <w:szCs w:val="24"/>
        </w:rPr>
        <w:t xml:space="preserve">última frontera </w:t>
      </w:r>
      <w:r>
        <w:rPr>
          <w:rStyle w:val="style26"/>
          <w:rFonts w:cs="Times New Roman" w:eastAsia="Trebuchet MS"/>
          <w:sz w:val="24"/>
          <w:szCs w:val="24"/>
        </w:rPr>
        <w:t>bonaerense y sus narrativas acerca de los pueblos indígenas</w:t>
      </w:r>
    </w:p>
    <w:p>
      <w:pPr>
        <w:pStyle w:val="style0"/>
        <w:spacing w:after="120" w:before="120"/>
        <w:jc w:val="both"/>
      </w:pPr>
      <w:r>
        <w:rPr/>
        <w:t xml:space="preserve">Podgorny Irina. 2005. “La mirada que pasa: museos, educación pública y visualización de la evidencia científica”. </w:t>
      </w:r>
      <w:r>
        <w:rPr>
          <w:lang w:val="pt-BR"/>
        </w:rPr>
        <w:t xml:space="preserve">En: </w:t>
      </w:r>
      <w:r>
        <w:rPr>
          <w:i/>
          <w:iCs/>
          <w:lang w:val="pt-BR"/>
        </w:rPr>
        <w:t>História, Ciencias, Saudace-Manguinhos</w:t>
      </w:r>
      <w:r>
        <w:rPr>
          <w:lang w:val="pt-BR"/>
        </w:rPr>
        <w:t>. Vol 12, Rio de Janeiro, pp. 22 a 42.</w:t>
      </w:r>
    </w:p>
    <w:p>
      <w:pPr>
        <w:pStyle w:val="style0"/>
        <w:spacing w:after="120" w:before="120"/>
      </w:pPr>
      <w:r>
        <w:rPr>
          <w:iCs/>
        </w:rPr>
        <w:t>Pupio</w:t>
      </w:r>
      <w:r>
        <w:rPr/>
        <w:t xml:space="preserve">, María Alejandra La historia indigena en museos locales </w:t>
      </w:r>
      <w:r>
        <w:rPr>
          <w:bCs/>
        </w:rPr>
        <w:t xml:space="preserve">en </w:t>
      </w:r>
      <w:r>
        <w:rPr/>
        <w:t>Hildegard K. Vieregg, Mónica Risnicoff de Gorgas, Regina Schiller, Martha Troncoso (ed.)</w:t>
      </w:r>
      <w:r>
        <w:rPr>
          <w:bCs/>
        </w:rPr>
        <w:t xml:space="preserve"> Museología e Historia Museología - Un Campo del Conocimiento ICOM</w:t>
      </w:r>
      <w:r>
        <w:rPr/>
        <w:t xml:space="preserve"> ICOFOM. ISS 35.  Alta Gracia, Córdoba, Argentina Universidad Nacional de Córdoba, October 5 -11, 2006</w:t>
      </w:r>
    </w:p>
    <w:p>
      <w:pPr>
        <w:pStyle w:val="style45"/>
        <w:shd w:fill="FFFFFF" w:val="clear"/>
        <w:spacing w:after="120" w:before="120" w:line="100" w:lineRule="atLeast"/>
        <w:ind w:hanging="0" w:left="0" w:right="40"/>
      </w:pPr>
      <w:r>
        <w:rPr>
          <w:rStyle w:val="style20"/>
          <w:rFonts w:ascii="Times New Roman" w:cs="Times New Roman" w:hAnsi="Times New Roman"/>
          <w:sz w:val="24"/>
          <w:szCs w:val="24"/>
          <w:lang w:val="fr-FR"/>
        </w:rPr>
        <w:t xml:space="preserve">Schmilchuk, </w:t>
      </w:r>
      <w:r>
        <w:rPr>
          <w:rFonts w:ascii="Times New Roman" w:cs="Times New Roman" w:hAnsi="Times New Roman"/>
          <w:sz w:val="24"/>
          <w:szCs w:val="24"/>
          <w:lang w:val="fr-FR"/>
        </w:rPr>
        <w:t xml:space="preserve">G. 2004. </w:t>
      </w:r>
      <w:r>
        <w:rPr>
          <w:rFonts w:ascii="Times New Roman" w:cs="Times New Roman" w:hAnsi="Times New Roman"/>
          <w:sz w:val="24"/>
          <w:szCs w:val="24"/>
        </w:rPr>
        <w:t>"El público: ¿clientes o ciudadanos con dere</w:t>
        <w:t xml:space="preserve">chos?", en </w:t>
      </w:r>
      <w:r>
        <w:rPr>
          <w:rStyle w:val="style21"/>
          <w:rFonts w:ascii="Times New Roman" w:cs="Times New Roman" w:hAnsi="Times New Roman"/>
          <w:sz w:val="24"/>
          <w:szCs w:val="24"/>
        </w:rPr>
        <w:t>Museos de México y del Mundo,</w:t>
      </w:r>
      <w:r>
        <w:rPr>
          <w:rFonts w:ascii="Times New Roman" w:cs="Times New Roman" w:hAnsi="Times New Roman"/>
          <w:sz w:val="24"/>
          <w:szCs w:val="24"/>
        </w:rPr>
        <w:t xml:space="preserve"> vol. 1, n° 1, México.</w:t>
      </w:r>
    </w:p>
    <w:p>
      <w:pPr>
        <w:pStyle w:val="style0"/>
        <w:spacing w:after="120" w:before="120"/>
      </w:pPr>
      <w:r>
        <w:rPr>
          <w:rFonts w:eastAsia="Calibri"/>
          <w:iCs/>
          <w:lang w:eastAsia="en-US" w:val="pt-BR"/>
        </w:rPr>
        <w:t>Scholz de Andrade Kersten, Márcia e Bonin, Anamaria Aimoré (</w:t>
      </w:r>
      <w:r>
        <w:rPr>
          <w:rFonts w:eastAsia="Calibri"/>
          <w:lang w:eastAsia="en-US" w:val="pt-BR"/>
        </w:rPr>
        <w:t>2007</w:t>
      </w:r>
      <w:r>
        <w:rPr>
          <w:rFonts w:eastAsia="Calibri"/>
          <w:iCs/>
          <w:lang w:eastAsia="en-US" w:val="pt-BR"/>
        </w:rPr>
        <w:t>) “</w:t>
      </w:r>
      <w:r>
        <w:rPr>
          <w:rFonts w:eastAsia="Calibri"/>
          <w:lang w:eastAsia="en-US" w:val="pt-BR"/>
        </w:rPr>
        <w:t>Para pensar os museus, ou ‘Quem deve controlar a representação do significado dos outros?'” Musas 3. Revista Brasileira de Museus e Museologia .  Instituto do Patrimônio Histórico e Artístico Nacional Departamento de Museus e Centros Culturais</w:t>
      </w:r>
    </w:p>
    <w:p>
      <w:pPr>
        <w:pStyle w:val="style0"/>
        <w:spacing w:after="120" w:before="120"/>
        <w:jc w:val="both"/>
      </w:pPr>
      <w:r>
        <w:rPr/>
      </w:r>
    </w:p>
    <w:p>
      <w:pPr>
        <w:pStyle w:val="style0"/>
        <w:spacing w:after="120" w:before="120"/>
        <w:jc w:val="both"/>
      </w:pPr>
      <w:r>
        <w:rPr/>
      </w:r>
    </w:p>
    <w:p>
      <w:pPr>
        <w:pStyle w:val="style0"/>
        <w:spacing w:after="120" w:before="120"/>
      </w:pPr>
      <w:r>
        <w:rPr>
          <w:b/>
        </w:rPr>
        <w:t xml:space="preserve">Destinatarios: </w:t>
      </w:r>
    </w:p>
    <w:p>
      <w:pPr>
        <w:pStyle w:val="style0"/>
        <w:spacing w:after="120" w:before="120"/>
      </w:pPr>
      <w:r>
        <w:rPr>
          <w:b/>
        </w:rPr>
        <w:t>A</w:t>
      </w:r>
      <w:r>
        <w:rPr/>
        <w:t xml:space="preserve">lumnos de las carreras de Historia y Ciencias Antropológicas en sus dos orientaciones: arqueología y antropología social. </w:t>
      </w:r>
    </w:p>
    <w:p>
      <w:pPr>
        <w:pStyle w:val="style0"/>
        <w:spacing w:after="120" w:before="120"/>
      </w:pPr>
      <w:r>
        <w:rPr/>
      </w:r>
    </w:p>
    <w:p>
      <w:pPr>
        <w:pStyle w:val="style0"/>
        <w:spacing w:after="120" w:before="120"/>
      </w:pPr>
      <w:r>
        <w:rPr/>
      </w:r>
    </w:p>
    <w:p>
      <w:pPr>
        <w:pStyle w:val="style40"/>
        <w:shd w:fill="FFFFFF" w:val="clear"/>
        <w:spacing w:after="120" w:before="120"/>
        <w:jc w:val="both"/>
        <w:textAlignment w:val="baseline"/>
      </w:pPr>
      <w:r>
        <w:rPr>
          <w:b/>
        </w:rPr>
        <w:t xml:space="preserve">Tipos de actividades: </w:t>
      </w:r>
    </w:p>
    <w:p>
      <w:pPr>
        <w:pStyle w:val="style40"/>
        <w:shd w:fill="FFFFFF" w:val="clear"/>
        <w:spacing w:after="120" w:before="120"/>
        <w:textAlignment w:val="baseline"/>
      </w:pPr>
      <w:r>
        <w:rPr/>
        <w:t xml:space="preserve">El seminario tendrá carácter teórico-práctico. Los alumnos presentarán algunos de los textos que forman parte de la bibliografía obligatoria, a partir de los cuales se discutirán los marcos conceptuales que dan sustento a las prácticas museográficas vinculadas a la transmisión cultural en los museos.  </w:t>
      </w:r>
    </w:p>
    <w:p>
      <w:pPr>
        <w:pStyle w:val="style40"/>
        <w:shd w:fill="FFFFFF" w:val="clear"/>
        <w:spacing w:after="120" w:before="120"/>
        <w:textAlignment w:val="baseline"/>
      </w:pPr>
      <w:r>
        <w:rPr/>
        <w:t xml:space="preserve">Además del Museo Etnográfico “Juan B. Ambrosetti”, FFyL, UBA, se visitarán otras instituciones y se analizarán experiencias diversas tomando como referencia los lineamientos tratados durante el seminario.  </w:t>
      </w:r>
    </w:p>
    <w:p>
      <w:pPr>
        <w:pStyle w:val="style40"/>
        <w:shd w:fill="FFFFFF" w:val="clear"/>
        <w:spacing w:after="120" w:before="120"/>
        <w:textAlignment w:val="baseline"/>
      </w:pPr>
      <w:r>
        <w:rPr/>
        <w:t>También se prevén espacios de consulta para el desarrollo del trabajo práctico a partir del cual se regulariza la cursada del seminario.</w:t>
      </w:r>
    </w:p>
    <w:p>
      <w:pPr>
        <w:pStyle w:val="style40"/>
        <w:shd w:fill="FFFFFF" w:val="clear"/>
        <w:spacing w:after="120" w:before="120"/>
        <w:textAlignment w:val="baseline"/>
      </w:pPr>
      <w:r>
        <w:rPr/>
      </w:r>
    </w:p>
    <w:p>
      <w:pPr>
        <w:pStyle w:val="style0"/>
        <w:spacing w:after="120" w:before="120"/>
        <w:jc w:val="both"/>
      </w:pPr>
      <w:r>
        <w:rPr>
          <w:b/>
        </w:rPr>
        <w:t>Carga horaria</w:t>
      </w:r>
      <w:r>
        <w:rPr/>
        <w:t xml:space="preserve">: </w:t>
      </w:r>
    </w:p>
    <w:p>
      <w:pPr>
        <w:pStyle w:val="style0"/>
        <w:spacing w:after="120" w:before="120"/>
        <w:jc w:val="both"/>
      </w:pPr>
      <w:r>
        <w:rPr/>
        <w:t>4 horas semanales</w:t>
      </w:r>
    </w:p>
    <w:p>
      <w:pPr>
        <w:pStyle w:val="style0"/>
        <w:spacing w:after="120" w:before="120"/>
        <w:jc w:val="both"/>
      </w:pPr>
      <w:r>
        <w:rPr/>
      </w:r>
    </w:p>
    <w:p>
      <w:pPr>
        <w:pStyle w:val="style0"/>
        <w:spacing w:after="120" w:before="120"/>
      </w:pPr>
      <w:r>
        <w:rPr>
          <w:b/>
        </w:rPr>
        <w:t>Formas de evaluación</w:t>
      </w:r>
    </w:p>
    <w:p>
      <w:pPr>
        <w:pStyle w:val="style0"/>
        <w:spacing w:after="120" w:before="120"/>
      </w:pPr>
      <w:r>
        <w:rPr/>
        <w:t xml:space="preserve">Para la </w:t>
      </w:r>
      <w:r>
        <w:rPr>
          <w:b/>
        </w:rPr>
        <w:t>regularización</w:t>
      </w:r>
      <w:r>
        <w:rPr/>
        <w:t xml:space="preserve"> del seminario se requiere la asistencia al 80% de las clases, la presentación de textos en clase y la elaboración de un trabajo práctico en el que se desarrolla el proyecto del trabajo monográfico con el que se aprueba el seminario.  </w:t>
      </w:r>
    </w:p>
    <w:p>
      <w:pPr>
        <w:pStyle w:val="style0"/>
        <w:spacing w:after="120" w:before="120"/>
      </w:pPr>
      <w:r>
        <w:rPr/>
        <w:t xml:space="preserve">Para la </w:t>
      </w:r>
      <w:r>
        <w:rPr>
          <w:b/>
        </w:rPr>
        <w:t xml:space="preserve">aprobación del seminario </w:t>
      </w:r>
      <w:r>
        <w:rPr/>
        <w:t>se podrá optar por una de las siguientes modalidades:</w:t>
      </w:r>
    </w:p>
    <w:p>
      <w:pPr>
        <w:pStyle w:val="style41"/>
        <w:numPr>
          <w:ilvl w:val="0"/>
          <w:numId w:val="2"/>
        </w:numPr>
        <w:spacing w:after="120" w:before="120"/>
        <w:ind w:hanging="0" w:left="360" w:right="0"/>
        <w:jc w:val="both"/>
      </w:pPr>
      <w:r>
        <w:rPr/>
        <w:t>Trabajo monográfico sobre algunos de los temas trabajados durante el cursado de la instancia.</w:t>
      </w:r>
    </w:p>
    <w:p>
      <w:pPr>
        <w:pStyle w:val="style41"/>
        <w:numPr>
          <w:ilvl w:val="0"/>
          <w:numId w:val="2"/>
        </w:numPr>
        <w:spacing w:after="120" w:before="120"/>
        <w:ind w:hanging="0" w:left="360" w:right="0"/>
        <w:jc w:val="both"/>
      </w:pPr>
      <w:r>
        <w:rPr/>
        <w:t xml:space="preserve">Trabajo de análisis de una experiencia de difusión, a partir del registro de campo. </w:t>
      </w:r>
    </w:p>
    <w:p>
      <w:pPr>
        <w:pStyle w:val="style0"/>
        <w:spacing w:after="120" w:before="120"/>
      </w:pPr>
      <w:r>
        <w:rPr/>
        <w:t>Según la normativa vigente, la nota mínima de aprobación deberá ser 4 (cuatro) puntos. La calificación final resultará del promedio de la nota de regularización del seminario y de la nota del trabajo presentado.</w:t>
      </w:r>
    </w:p>
    <w:p>
      <w:pPr>
        <w:pStyle w:val="style0"/>
        <w:spacing w:after="120" w:before="120"/>
        <w:jc w:val="right"/>
      </w:pPr>
      <w:r>
        <w:rPr>
          <w:lang w:val="es-AR"/>
        </w:rPr>
      </w:r>
    </w:p>
    <w:p>
      <w:pPr>
        <w:pStyle w:val="style0"/>
        <w:spacing w:after="120" w:before="120"/>
        <w:jc w:val="right"/>
      </w:pPr>
      <w:r>
        <w:rPr>
          <w:lang w:val="es-AR"/>
        </w:rPr>
      </w:r>
    </w:p>
    <w:p>
      <w:pPr>
        <w:pStyle w:val="style0"/>
        <w:spacing w:after="120" w:before="120"/>
        <w:jc w:val="right"/>
      </w:pPr>
      <w:r>
        <w:rPr>
          <w:lang w:val="es-AR"/>
        </w:rPr>
      </w:r>
    </w:p>
    <w:p>
      <w:pPr>
        <w:pStyle w:val="style0"/>
        <w:spacing w:after="120" w:before="120"/>
        <w:jc w:val="right"/>
      </w:pPr>
      <w:r>
        <w:rPr>
          <w:lang w:val="es-AR"/>
        </w:rPr>
        <w:t>Lic. Silvia L. Calvo</w:t>
      </w:r>
    </w:p>
    <w:p>
      <w:pPr>
        <w:pStyle w:val="style0"/>
        <w:spacing w:after="120" w:before="120"/>
        <w:jc w:val="right"/>
      </w:pPr>
      <w:r>
        <w:rPr>
          <w:lang w:val="es-ES"/>
        </w:rPr>
        <w:t>Profesora</w:t>
      </w:r>
      <w:r>
        <w:rPr>
          <w:lang w:val="es-AR"/>
        </w:rPr>
        <w:t xml:space="preserve"> adjunta interina.</w:t>
      </w:r>
    </w:p>
    <w:p>
      <w:pPr>
        <w:pStyle w:val="style0"/>
        <w:spacing w:after="120" w:before="120"/>
        <w:jc w:val="right"/>
      </w:pPr>
      <w:r>
        <w:rPr>
          <w:lang w:val="es-ES"/>
        </w:rPr>
        <w:t xml:space="preserve">Museo Etnográfico. </w:t>
      </w:r>
    </w:p>
    <w:p>
      <w:pPr>
        <w:pStyle w:val="style0"/>
        <w:spacing w:after="120" w:before="120"/>
        <w:jc w:val="right"/>
      </w:pPr>
      <w:r>
        <w:rPr>
          <w:lang w:val="es-ES"/>
        </w:rPr>
        <w:t xml:space="preserve">Depto. Antropología. </w:t>
      </w:r>
    </w:p>
    <w:p>
      <w:pPr>
        <w:pStyle w:val="style0"/>
        <w:spacing w:after="120" w:before="120"/>
        <w:jc w:val="right"/>
      </w:pPr>
      <w:r>
        <w:rPr>
          <w:lang w:val="es-AR"/>
        </w:rPr>
        <w:t xml:space="preserve">                                          </w:t>
      </w:r>
      <w:r>
        <w:rPr>
          <w:lang w:val="es-ES"/>
        </w:rPr>
        <w:t>Legajo</w:t>
      </w:r>
      <w:r>
        <w:rPr>
          <w:lang w:val="es-AR"/>
        </w:rPr>
        <w:t xml:space="preserve"> 90564</w:t>
      </w:r>
    </w:p>
    <w:p>
      <w:pPr>
        <w:pStyle w:val="style0"/>
        <w:spacing w:after="120" w:before="120"/>
        <w:jc w:val="right"/>
      </w:pPr>
      <w:r>
        <w:rPr>
          <w:lang w:val="es-AR"/>
        </w:rPr>
        <w:t>DNI 11.836.761</w:t>
      </w:r>
    </w:p>
    <w:p>
      <w:pPr>
        <w:pStyle w:val="style0"/>
      </w:pPr>
      <w:r>
        <w:rPr/>
      </w:r>
    </w:p>
    <w:sectPr>
      <w:footerReference r:id="rId7" w:type="default"/>
      <w:footnotePr>
        <w:numFmt w:val="decimal"/>
      </w:footnotePr>
      <w:type w:val="nextPage"/>
      <w:pgSz w:h="16838" w:w="11906"/>
      <w:pgMar w:bottom="1440" w:footer="709" w:gutter="0" w:header="0" w:left="1077" w:right="1077" w:top="1440"/>
      <w:pgNumType w:fmt="decimal"/>
      <w:formProt w:val="false"/>
      <w:titlePg/>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Wingdings">
    <w:charset w:val="02"/>
    <w:family w:val="auto"/>
    <w:pitch w:val="default"/>
  </w:font>
  <w:font w:name="Courier New">
    <w:charset w:val="80"/>
    <w:family w:val="modern"/>
    <w:pitch w:val="fixed"/>
  </w:font>
  <w:font w:name="Symbol">
    <w:charset w:val="02"/>
    <w:family w:val="auto"/>
    <w:pitch w:val="variable"/>
  </w:font>
  <w:font w:name="Times New Roman">
    <w:charset w:val="80"/>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9"/>
      <w:jc w:val="right"/>
    </w:pPr>
    <w:r>
      <w:rPr/>
      <w:fldChar w:fldCharType="begin"/>
    </w:r>
    <w:r>
      <w:instrText> PAGE </w:instrText>
    </w:r>
    <w:r>
      <w:fldChar w:fldCharType="separate"/>
    </w:r>
    <w:r>
      <w:t>9</w:t>
    </w:r>
    <w:r>
      <w:fldChar w:fldCharType="end"/>
    </w:r>
  </w:p>
  <w:p>
    <w:pPr>
      <w:pStyle w:val="style49"/>
    </w:pPr>
    <w:r>
      <w:rPr/>
    </w:r>
  </w:p>
</w:ftr>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42"/>
      </w:pPr>
      <w:r>
        <w:rPr>
          <w:rStyle w:val="style17"/>
        </w:rPr>
        <w:footnoteRef/>
        <w:tab/>
      </w:r>
      <w:r>
        <w:rPr/>
        <w:t xml:space="preserve"> </w:t>
      </w:r>
      <w:r>
        <w:rPr>
          <w:szCs w:val="24"/>
          <w:lang w:eastAsia="es-AR"/>
        </w:rPr>
        <w:t>Licenciada en Ciencias de la Educación. Prof. Adjunta interina. Coordinadora Área Extensión Educativa, Museo Etnográfico</w:t>
      </w:r>
      <w:r>
        <w:rPr>
          <w:sz w:val="24"/>
          <w:szCs w:val="24"/>
          <w:lang w:eastAsia="es-AR"/>
        </w:rPr>
        <w:t xml:space="preserve">. </w:t>
      </w:r>
    </w:p>
  </w:footnote>
  <w:footnote w:id="3">
    <w:p>
      <w:pPr>
        <w:pStyle w:val="style42"/>
      </w:pPr>
      <w:r>
        <w:rPr>
          <w:rStyle w:val="style17"/>
        </w:rPr>
        <w:footnoteRef/>
        <w:tab/>
      </w:r>
      <w:r>
        <w:rPr/>
        <w:t xml:space="preserve"> </w:t>
      </w:r>
      <w:r>
        <w:rPr>
          <w:lang w:eastAsia="es-AR"/>
        </w:rPr>
        <w:t xml:space="preserve">Prof.  de Enseñanza Media y Superior en Ciencias Antropológicas. JTP interino. Integrante Área Extensión Educativa Museo Etnográfico. </w:t>
      </w:r>
    </w:p>
  </w:footnote>
  <w:footnote w:id="4">
    <w:p>
      <w:pPr>
        <w:pStyle w:val="style42"/>
      </w:pPr>
      <w:r>
        <w:rPr>
          <w:rStyle w:val="style17"/>
        </w:rPr>
        <w:footnoteRef/>
        <w:tab/>
      </w:r>
      <w:r>
        <w:rPr/>
        <w:t xml:space="preserve"> </w:t>
      </w:r>
      <w:r>
        <w:rPr>
          <w:color w:val="000000"/>
          <w:lang w:eastAsia="es-AR"/>
        </w:rPr>
        <w:t>Prof. De Enseñanza Media y Superior en Historia. JTP interina. Integrante Área de Extensión Educativa Museo Etnográfico</w:t>
      </w:r>
    </w:p>
  </w:footnote>
</w:footnotes>
</file>

<file path=word/numbering.xml><?xml version="1.0" encoding="utf-8"?>
<w:numbering xmlns:w="http://schemas.openxmlformats.org/wordprocessingml/2006/main">
  <w:abstractNum w:abstractNumId="1">
    <w:lvl w:ilvl="0">
      <w:start w:val="1"/>
      <w:numFmt w:val="bullet"/>
      <w:lvlText w:val=""/>
      <w:lvlJc w:val="left"/>
      <w:pPr>
        <w:ind w:hanging="360" w:left="360"/>
      </w:pPr>
      <w:rPr>
        <w:rFonts w:ascii="Wingdings" w:cs="Wingdings" w:hAnsi="Wingdings"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2">
    <w:lvl w:ilvl="0">
      <w:start w:val="1"/>
      <w:numFmt w:val="bullet"/>
      <w:lvlText w:val="-"/>
      <w:lvlJc w:val="left"/>
      <w:pPr>
        <w:ind w:hanging="360" w:left="720"/>
      </w:pPr>
      <w:rPr>
        <w:rFonts w:ascii="Times New Roman" w:cs="Times New Roman" w:hAnsi="Times New Roman"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footnotePr>
    <w:numFmt w:val="decimal"/>
    <w:footnote w:id="0"/>
    <w:footnote w:id="1"/>
  </w:footnotePr>
</w:settings>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0" w:before="0"/>
    </w:pPr>
    <w:rPr>
      <w:rFonts w:ascii="Times New Roman" w:cs="Times New Roman" w:eastAsia="Times New Roman" w:hAnsi="Times New Roman"/>
      <w:color w:val="auto"/>
      <w:sz w:val="24"/>
      <w:szCs w:val="24"/>
      <w:lang w:bidi="ar-SA" w:eastAsia="es-ES" w:val="es-ES"/>
    </w:rPr>
  </w:style>
  <w:style w:styleId="style15" w:type="character">
    <w:name w:val="Default Paragraph Font"/>
    <w:next w:val="style15"/>
    <w:rPr/>
  </w:style>
  <w:style w:styleId="style16" w:type="character">
    <w:name w:val="Texto nota pie Car"/>
    <w:basedOn w:val="style15"/>
    <w:next w:val="style16"/>
    <w:rPr>
      <w:rFonts w:cs="Times New Roman" w:eastAsia="Times New Roman"/>
      <w:sz w:val="20"/>
      <w:szCs w:val="20"/>
      <w:lang w:eastAsia="es-ES" w:val="es-ES"/>
    </w:rPr>
  </w:style>
  <w:style w:styleId="style17" w:type="character">
    <w:name w:val="footnote reference"/>
    <w:next w:val="style17"/>
    <w:rPr>
      <w:vertAlign w:val="superscript"/>
    </w:rPr>
  </w:style>
  <w:style w:styleId="style18" w:type="character">
    <w:name w:val="Enlace de Internet"/>
    <w:next w:val="style18"/>
    <w:rPr>
      <w:color w:val="0000FF"/>
      <w:u w:val="single"/>
      <w:lang w:bidi="es-ES" w:eastAsia="es-ES" w:val="es-ES"/>
    </w:rPr>
  </w:style>
  <w:style w:styleId="style19" w:type="character">
    <w:name w:val="Cuerpo del texto_"/>
    <w:basedOn w:val="style15"/>
    <w:next w:val="style19"/>
    <w:rPr>
      <w:rFonts w:ascii="Trebuchet MS" w:cs="Trebuchet MS" w:eastAsia="Trebuchet MS" w:hAnsi="Trebuchet MS"/>
      <w:sz w:val="17"/>
      <w:szCs w:val="17"/>
      <w:shd w:fill="FFFFFF" w:val="clear"/>
    </w:rPr>
  </w:style>
  <w:style w:styleId="style20" w:type="character">
    <w:name w:val="Cuerpo del texto + 7;5 pto"/>
    <w:basedOn w:val="style19"/>
    <w:next w:val="style20"/>
    <w:rPr>
      <w:rFonts w:ascii="Trebuchet MS" w:cs="Trebuchet MS" w:eastAsia="Trebuchet MS" w:hAnsi="Trebuchet MS"/>
      <w:color w:val="000000"/>
      <w:spacing w:val="0"/>
      <w:w w:val="100"/>
      <w:position w:val="0"/>
      <w:sz w:val="15"/>
      <w:sz w:val="15"/>
      <w:szCs w:val="15"/>
      <w:shd w:fill="FFFFFF" w:val="clear"/>
      <w:vertAlign w:val="baseline"/>
      <w:lang w:val="es-ES"/>
    </w:rPr>
  </w:style>
  <w:style w:styleId="style21" w:type="character">
    <w:name w:val="Cuerpo del texto + Cursiva"/>
    <w:basedOn w:val="style19"/>
    <w:next w:val="style21"/>
    <w:rPr>
      <w:rFonts w:ascii="Trebuchet MS" w:cs="Trebuchet MS" w:eastAsia="Trebuchet MS" w:hAnsi="Trebuchet MS"/>
      <w:i/>
      <w:iCs/>
      <w:color w:val="000000"/>
      <w:spacing w:val="0"/>
      <w:w w:val="100"/>
      <w:position w:val="0"/>
      <w:sz w:val="17"/>
      <w:sz w:val="17"/>
      <w:szCs w:val="17"/>
      <w:shd w:fill="FFFFFF" w:val="clear"/>
      <w:vertAlign w:val="baseline"/>
      <w:lang w:val="es-ES"/>
    </w:rPr>
  </w:style>
  <w:style w:styleId="style22" w:type="character">
    <w:name w:val="Cuerpo del texto + 7;5 pto;Versales"/>
    <w:basedOn w:val="style19"/>
    <w:next w:val="style22"/>
    <w:rPr>
      <w:rFonts w:ascii="Trebuchet MS" w:cs="Trebuchet MS" w:eastAsia="Trebuchet MS" w:hAnsi="Trebuchet MS"/>
      <w:b w:val="false"/>
      <w:bCs w:val="false"/>
      <w:i w:val="false"/>
      <w:iCs w:val="false"/>
      <w:smallCaps/>
      <w:strike w:val="false"/>
      <w:dstrike w:val="false"/>
      <w:color w:val="000000"/>
      <w:spacing w:val="0"/>
      <w:w w:val="100"/>
      <w:position w:val="0"/>
      <w:sz w:val="15"/>
      <w:sz w:val="15"/>
      <w:szCs w:val="15"/>
      <w:u w:val="none"/>
      <w:shd w:fill="FFFFFF" w:val="clear"/>
      <w:vertAlign w:val="baseline"/>
      <w:lang w:val="es-ES"/>
    </w:rPr>
  </w:style>
  <w:style w:styleId="style23" w:type="character">
    <w:name w:val="Cuerpo del texto (2)_"/>
    <w:basedOn w:val="style15"/>
    <w:next w:val="style23"/>
    <w:rPr>
      <w:rFonts w:ascii="Trebuchet MS" w:cs="Trebuchet MS" w:eastAsia="Trebuchet MS" w:hAnsi="Trebuchet MS"/>
      <w:i/>
      <w:iCs/>
      <w:sz w:val="17"/>
      <w:szCs w:val="17"/>
      <w:shd w:fill="FFFFFF" w:val="clear"/>
    </w:rPr>
  </w:style>
  <w:style w:styleId="style24" w:type="character">
    <w:name w:val="Pie de página Car"/>
    <w:basedOn w:val="style15"/>
    <w:next w:val="style24"/>
    <w:rPr>
      <w:rFonts w:cs="Times New Roman" w:eastAsia="Times New Roman"/>
      <w:szCs w:val="24"/>
      <w:lang w:eastAsia="es-ES" w:val="es-ES"/>
    </w:rPr>
  </w:style>
  <w:style w:styleId="style25" w:type="character">
    <w:name w:val="A7"/>
    <w:next w:val="style25"/>
    <w:rPr>
      <w:rFonts w:cs="Futura Lt BT"/>
      <w:color w:val="000000"/>
      <w:sz w:val="14"/>
      <w:szCs w:val="14"/>
    </w:rPr>
  </w:style>
  <w:style w:styleId="style26" w:type="character">
    <w:name w:val="A4"/>
    <w:next w:val="style26"/>
    <w:rPr>
      <w:rFonts w:cs="Akkurat"/>
      <w:color w:val="000000"/>
      <w:sz w:val="16"/>
      <w:szCs w:val="16"/>
    </w:rPr>
  </w:style>
  <w:style w:styleId="style27" w:type="character">
    <w:name w:val="A3"/>
    <w:next w:val="style27"/>
    <w:rPr>
      <w:rFonts w:cs="Meta Normal"/>
      <w:color w:val="000000"/>
    </w:rPr>
  </w:style>
  <w:style w:styleId="style28" w:type="character">
    <w:name w:val="Texto de globo Car"/>
    <w:basedOn w:val="style15"/>
    <w:next w:val="style28"/>
    <w:rPr>
      <w:rFonts w:ascii="Tahoma" w:cs="Tahoma" w:eastAsia="Times New Roman" w:hAnsi="Tahoma"/>
      <w:sz w:val="16"/>
      <w:szCs w:val="16"/>
      <w:lang w:eastAsia="es-ES" w:val="es-ES"/>
    </w:rPr>
  </w:style>
  <w:style w:styleId="style29" w:type="character">
    <w:name w:val="ListLabel 1"/>
    <w:next w:val="style29"/>
    <w:rPr>
      <w:rFonts w:cs="Courier New"/>
    </w:rPr>
  </w:style>
  <w:style w:styleId="style30" w:type="character">
    <w:name w:val="ListLabel 2"/>
    <w:next w:val="style30"/>
    <w:rPr>
      <w:rFonts w:cs="Times New Roman"/>
      <w:lang w:val="es-ES"/>
    </w:rPr>
  </w:style>
  <w:style w:styleId="style31" w:type="character">
    <w:name w:val="Caracteres de nota al pie"/>
    <w:next w:val="style31"/>
    <w:rPr/>
  </w:style>
  <w:style w:styleId="style32" w:type="character">
    <w:name w:val="Ancla de nota al pie"/>
    <w:next w:val="style32"/>
    <w:rPr>
      <w:vertAlign w:val="superscript"/>
    </w:rPr>
  </w:style>
  <w:style w:styleId="style33" w:type="character">
    <w:name w:val="Ancla de nota final"/>
    <w:next w:val="style33"/>
    <w:rPr>
      <w:vertAlign w:val="superscript"/>
    </w:rPr>
  </w:style>
  <w:style w:styleId="style34" w:type="character">
    <w:name w:val="Caracteres de nota final"/>
    <w:next w:val="style34"/>
    <w:rPr/>
  </w:style>
  <w:style w:styleId="style35" w:type="paragraph">
    <w:name w:val="Encabezado"/>
    <w:basedOn w:val="style0"/>
    <w:next w:val="style36"/>
    <w:pPr>
      <w:keepNext/>
      <w:spacing w:after="120" w:before="240"/>
    </w:pPr>
    <w:rPr>
      <w:rFonts w:ascii="Liberation Sans" w:cs="FreeSans" w:eastAsia="Droid Sans" w:hAnsi="Liberation Sans"/>
      <w:sz w:val="28"/>
      <w:szCs w:val="28"/>
    </w:rPr>
  </w:style>
  <w:style w:styleId="style36" w:type="paragraph">
    <w:name w:val="Cuerpo de texto"/>
    <w:basedOn w:val="style0"/>
    <w:next w:val="style36"/>
    <w:pPr>
      <w:spacing w:after="120" w:before="0"/>
    </w:pPr>
    <w:rPr/>
  </w:style>
  <w:style w:styleId="style37" w:type="paragraph">
    <w:name w:val="Lista"/>
    <w:basedOn w:val="style36"/>
    <w:next w:val="style37"/>
    <w:pPr/>
    <w:rPr>
      <w:rFonts w:cs="FreeSans"/>
    </w:rPr>
  </w:style>
  <w:style w:styleId="style38" w:type="paragraph">
    <w:name w:val="Etiqueta"/>
    <w:basedOn w:val="style0"/>
    <w:next w:val="style38"/>
    <w:pPr>
      <w:suppressLineNumbers/>
      <w:spacing w:after="120" w:before="120"/>
    </w:pPr>
    <w:rPr>
      <w:rFonts w:cs="FreeSans"/>
      <w:i/>
      <w:iCs/>
      <w:sz w:val="24"/>
      <w:szCs w:val="24"/>
    </w:rPr>
  </w:style>
  <w:style w:styleId="style39" w:type="paragraph">
    <w:name w:val="Índice"/>
    <w:basedOn w:val="style0"/>
    <w:next w:val="style39"/>
    <w:pPr>
      <w:suppressLineNumbers/>
    </w:pPr>
    <w:rPr>
      <w:rFonts w:cs="FreeSans"/>
    </w:rPr>
  </w:style>
  <w:style w:styleId="style40" w:type="paragraph">
    <w:name w:val="Normal (Web)"/>
    <w:basedOn w:val="style0"/>
    <w:next w:val="style40"/>
    <w:pPr>
      <w:spacing w:after="100" w:before="100"/>
    </w:pPr>
    <w:rPr>
      <w:lang w:eastAsia="es-ES" w:val="es-ES"/>
    </w:rPr>
  </w:style>
  <w:style w:styleId="style41" w:type="paragraph">
    <w:name w:val="List Paragraph"/>
    <w:basedOn w:val="style0"/>
    <w:next w:val="style41"/>
    <w:pPr>
      <w:ind w:hanging="0" w:left="720" w:right="0"/>
    </w:pPr>
    <w:rPr/>
  </w:style>
  <w:style w:styleId="style42" w:type="paragraph">
    <w:name w:val="footnote text"/>
    <w:basedOn w:val="style0"/>
    <w:next w:val="style42"/>
    <w:pPr/>
    <w:rPr>
      <w:sz w:val="20"/>
      <w:szCs w:val="20"/>
    </w:rPr>
  </w:style>
  <w:style w:styleId="style43" w:type="paragraph">
    <w:name w:val="Texto sin formato1"/>
    <w:basedOn w:val="style0"/>
    <w:next w:val="style43"/>
    <w:pPr>
      <w:suppressAutoHyphens w:val="true"/>
      <w:spacing w:after="280" w:before="280" w:line="100" w:lineRule="atLeast"/>
    </w:pPr>
    <w:rPr>
      <w:lang w:eastAsia="ar-SA" w:val="es-ES"/>
    </w:rPr>
  </w:style>
  <w:style w:styleId="style44" w:type="paragraph">
    <w:name w:val="Párrafo de lista1"/>
    <w:basedOn w:val="style0"/>
    <w:next w:val="style44"/>
    <w:pPr>
      <w:suppressAutoHyphens w:val="true"/>
      <w:spacing w:line="100" w:lineRule="atLeast"/>
      <w:ind w:hanging="0" w:left="720" w:right="0"/>
    </w:pPr>
    <w:rPr>
      <w:lang w:eastAsia="ar-SA" w:val="es-ES"/>
    </w:rPr>
  </w:style>
  <w:style w:styleId="style45" w:type="paragraph">
    <w:name w:val="Cuerpo del texto"/>
    <w:basedOn w:val="style0"/>
    <w:next w:val="style45"/>
    <w:pPr>
      <w:widowControl w:val="false"/>
      <w:shd w:fill="FFFFFF" w:val="clear"/>
      <w:spacing w:line="259" w:lineRule="exact"/>
      <w:ind w:hanging="300" w:left="0" w:right="0"/>
      <w:jc w:val="both"/>
    </w:pPr>
    <w:rPr>
      <w:rFonts w:ascii="Trebuchet MS" w:cs="Trebuchet MS" w:eastAsia="Trebuchet MS" w:hAnsi="Trebuchet MS"/>
      <w:sz w:val="17"/>
      <w:szCs w:val="17"/>
      <w:lang w:eastAsia="en-US" w:val="es-AR"/>
    </w:rPr>
  </w:style>
  <w:style w:styleId="style46" w:type="paragraph">
    <w:name w:val="Cuerpo del texto (2)"/>
    <w:basedOn w:val="style0"/>
    <w:next w:val="style46"/>
    <w:pPr>
      <w:widowControl w:val="false"/>
      <w:shd w:fill="FFFFFF" w:val="clear"/>
      <w:spacing w:line="259" w:lineRule="exact"/>
      <w:ind w:hanging="280" w:left="0" w:right="0"/>
      <w:jc w:val="both"/>
    </w:pPr>
    <w:rPr>
      <w:rFonts w:ascii="Trebuchet MS" w:cs="Trebuchet MS" w:eastAsia="Trebuchet MS" w:hAnsi="Trebuchet MS"/>
      <w:i/>
      <w:iCs/>
      <w:sz w:val="17"/>
      <w:szCs w:val="17"/>
      <w:lang w:eastAsia="en-US" w:val="es-AR"/>
    </w:rPr>
  </w:style>
  <w:style w:styleId="style47" w:type="paragraph">
    <w:name w:val="Contenido de la tabla"/>
    <w:basedOn w:val="style0"/>
    <w:next w:val="style47"/>
    <w:pPr>
      <w:widowControl w:val="false"/>
      <w:suppressLineNumbers/>
      <w:suppressAutoHyphens w:val="true"/>
    </w:pPr>
    <w:rPr>
      <w:rFonts w:cs="Mangal" w:eastAsia="SimSun"/>
      <w:lang w:bidi="hi-IN" w:eastAsia="hi-IN" w:val="es-AR"/>
    </w:rPr>
  </w:style>
  <w:style w:styleId="style48" w:type="paragraph">
    <w:name w:val="Normal"/>
    <w:next w:val="style48"/>
    <w:pPr>
      <w:widowControl/>
      <w:tabs>
        <w:tab w:leader="none" w:pos="708" w:val="left"/>
      </w:tabs>
      <w:suppressAutoHyphens w:val="true"/>
      <w:spacing w:after="0" w:before="0"/>
    </w:pPr>
    <w:rPr>
      <w:rFonts w:ascii="Arial" w:cs="Arial" w:eastAsia="Droid Sans" w:hAnsi="Arial"/>
      <w:color w:val="000000"/>
      <w:sz w:val="24"/>
      <w:szCs w:val="24"/>
      <w:lang w:bidi="ar-SA" w:eastAsia="en-US" w:val="es-AR"/>
    </w:rPr>
  </w:style>
  <w:style w:styleId="style49" w:type="paragraph">
    <w:name w:val="Pie de página"/>
    <w:basedOn w:val="style0"/>
    <w:next w:val="style49"/>
    <w:pPr>
      <w:suppressLineNumbers/>
      <w:tabs>
        <w:tab w:leader="none" w:pos="4419" w:val="center"/>
        <w:tab w:leader="none" w:pos="8838" w:val="right"/>
      </w:tabs>
    </w:pPr>
    <w:rPr/>
  </w:style>
  <w:style w:styleId="style50" w:type="paragraph">
    <w:name w:val="Balloon Text"/>
    <w:basedOn w:val="style0"/>
    <w:next w:val="style50"/>
    <w:pPr/>
    <w:rPr>
      <w:rFonts w:ascii="Tahoma" w:cs="Tahoma" w:hAnsi="Tahoma"/>
      <w:sz w:val="16"/>
      <w:szCs w:val="16"/>
    </w:rPr>
  </w:style>
  <w:style w:styleId="style51" w:type="paragraph">
    <w:name w:val="Nota al pie"/>
    <w:basedOn w:val="style0"/>
    <w:next w:val="style51"/>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icom.museum/fileadmin/user_upload/pdf/Key_Concepts_of_Museology/Museologie_Espagnol_BD.pdf" TargetMode="External"/><Relationship Id="rId4" Type="http://schemas.openxmlformats.org/officeDocument/2006/relationships/hyperlink" Target="https://archive.org/stream/pdfy-E-YmC6dMKA0fBveL/133740394-EL-RECURSO-DE-LA-CULTURA-Usos-de-La-cuLtura-en-La-era-gLobal-George-Yudice-pdf_djvu.txt" TargetMode="External"/><Relationship Id="rId5" Type="http://schemas.openxmlformats.org/officeDocument/2006/relationships/hyperlink" Target="http://www.google.com/url?q=http%3A%2F%2Fwww.cholonautas.edu.pe%2Fmodulo%2Fupload%2FJelinCap2.pdf&amp;sa=D&amp;sntz=1&amp;usg=AFQjCNG4ZHYCT53rHuVZglXljXTudJT4_g" TargetMode="External"/><Relationship Id="rId6" Type="http://schemas.openxmlformats.org/officeDocument/2006/relationships/hyperlink" Target="http://www.google.com/url?q=http%3A%2F%2Fwww.corteidh.or.cr%2Ftablas%2Fr29766.pdf&amp;sa=D&amp;sntz=1&amp;usg=AFQjCNGS8q7g79HdL-Lrvj91kKxgMvJk5A" TargetMode="Externa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2017-09-15T16:01:00.00Z</dcterms:created>
  <dc:creator>Usuario de Windows</dc:creator>
  <cp:lastModifiedBy>Usuario de Windows</cp:lastModifiedBy>
  <dcterms:modified xsi:type="dcterms:W3CDTF">2017-09-15T16:34:00.00Z</dcterms:modified>
  <cp:revision>5</cp:revision>
</cp:coreProperties>
</file>